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Fonts w:hint="eastAsia" w:ascii="宋体" w:hAnsi="宋体" w:eastAsia="宋体"/>
          <w:b/>
          <w:color w:val="auto"/>
          <w:sz w:val="32"/>
          <w:szCs w:val="32"/>
          <w:highlight w:val="none"/>
          <w:lang w:eastAsia="zh-CN"/>
        </w:rPr>
      </w:pPr>
      <w:r>
        <w:rPr>
          <w:rStyle w:val="24"/>
          <w:rFonts w:hint="eastAsia" w:ascii="宋体" w:hAnsi="宋体"/>
          <w:b/>
          <w:color w:val="auto"/>
          <w:sz w:val="44"/>
          <w:szCs w:val="44"/>
          <w:highlight w:val="none"/>
          <w:lang w:eastAsia="zh-CN"/>
        </w:rPr>
        <w:t>界首市和兴路农贸市场11-16层空调采购项目</w:t>
      </w:r>
    </w:p>
    <w:p>
      <w:pPr>
        <w:pStyle w:val="23"/>
        <w:ind w:firstLine="420"/>
        <w:rPr>
          <w:color w:val="auto"/>
          <w:highlight w:val="none"/>
        </w:rPr>
      </w:pPr>
    </w:p>
    <w:p>
      <w:pPr>
        <w:pStyle w:val="23"/>
        <w:ind w:firstLine="420"/>
        <w:rPr>
          <w:color w:val="auto"/>
          <w:highlight w:val="none"/>
        </w:rPr>
      </w:pPr>
    </w:p>
    <w:p>
      <w:pPr>
        <w:pStyle w:val="23"/>
        <w:ind w:firstLine="0" w:firstLineChars="0"/>
        <w:rPr>
          <w:color w:val="auto"/>
          <w:highlight w:val="none"/>
        </w:rPr>
      </w:pPr>
    </w:p>
    <w:p>
      <w:pPr>
        <w:pStyle w:val="23"/>
        <w:ind w:firstLine="420"/>
        <w:rPr>
          <w:color w:val="auto"/>
          <w:highlight w:val="none"/>
        </w:rPr>
      </w:pPr>
    </w:p>
    <w:p>
      <w:pPr>
        <w:pStyle w:val="23"/>
        <w:ind w:firstLine="420"/>
        <w:rPr>
          <w:color w:val="auto"/>
          <w:highlight w:val="none"/>
        </w:rPr>
      </w:pPr>
    </w:p>
    <w:p>
      <w:pPr>
        <w:jc w:val="center"/>
        <w:rPr>
          <w:rFonts w:ascii="宋体" w:hAnsi="宋体"/>
          <w:b/>
          <w:bCs/>
          <w:color w:val="auto"/>
          <w:sz w:val="72"/>
          <w:szCs w:val="72"/>
          <w:highlight w:val="none"/>
        </w:rPr>
      </w:pPr>
      <w:r>
        <w:rPr>
          <w:rFonts w:hint="eastAsia" w:ascii="宋体" w:hAnsi="宋体"/>
          <w:b/>
          <w:bCs/>
          <w:color w:val="auto"/>
          <w:sz w:val="72"/>
          <w:szCs w:val="72"/>
          <w:highlight w:val="none"/>
        </w:rPr>
        <w:t>竞争性磋商文件</w:t>
      </w:r>
    </w:p>
    <w:p>
      <w:pPr>
        <w:jc w:val="center"/>
        <w:rPr>
          <w:rFonts w:ascii="宋体" w:hAnsi="宋体"/>
          <w:b/>
          <w:color w:val="auto"/>
          <w:sz w:val="32"/>
          <w:szCs w:val="32"/>
          <w:highlight w:val="none"/>
        </w:rPr>
      </w:pPr>
    </w:p>
    <w:p>
      <w:pPr>
        <w:ind w:firstLine="2718" w:firstLineChars="846"/>
        <w:rPr>
          <w:rFonts w:ascii="宋体" w:hAnsi="宋体"/>
          <w:b/>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r>
        <w:rPr>
          <w:rFonts w:hint="eastAsia" w:ascii="宋体" w:hAnsi="宋体"/>
          <w:color w:val="auto"/>
          <w:sz w:val="32"/>
          <w:szCs w:val="32"/>
          <w:highlight w:val="none"/>
        </w:rPr>
        <w:t xml:space="preserve"> </w:t>
      </w:r>
    </w:p>
    <w:p>
      <w:pPr>
        <w:pStyle w:val="23"/>
        <w:ind w:firstLine="420"/>
        <w:rPr>
          <w:color w:val="auto"/>
          <w:highlight w:val="none"/>
        </w:rPr>
      </w:pPr>
    </w:p>
    <w:p>
      <w:pPr>
        <w:rPr>
          <w:rFonts w:ascii="宋体" w:hAnsi="宋体"/>
          <w:color w:val="auto"/>
          <w:sz w:val="32"/>
          <w:szCs w:val="32"/>
          <w:highlight w:val="none"/>
        </w:rPr>
      </w:pPr>
    </w:p>
    <w:p>
      <w:pPr>
        <w:rPr>
          <w:rFonts w:ascii="宋体" w:hAnsi="宋体"/>
          <w:color w:val="auto"/>
          <w:sz w:val="32"/>
          <w:szCs w:val="32"/>
          <w:highlight w:val="none"/>
        </w:rPr>
      </w:pPr>
    </w:p>
    <w:p>
      <w:pPr>
        <w:rPr>
          <w:rFonts w:ascii="宋体" w:hAnsi="宋体"/>
          <w:color w:val="auto"/>
          <w:sz w:val="32"/>
          <w:szCs w:val="32"/>
          <w:highlight w:val="none"/>
        </w:rPr>
      </w:pPr>
    </w:p>
    <w:p>
      <w:pPr>
        <w:jc w:val="center"/>
        <w:rPr>
          <w:rFonts w:hint="eastAsia" w:ascii="宋体" w:hAnsi="宋体" w:eastAsia="宋体"/>
          <w:color w:val="auto"/>
          <w:sz w:val="32"/>
          <w:szCs w:val="32"/>
          <w:highlight w:val="none"/>
          <w:u w:val="single"/>
          <w:lang w:eastAsia="zh-CN"/>
        </w:rPr>
      </w:pPr>
      <w:r>
        <w:rPr>
          <w:rFonts w:hint="eastAsia" w:ascii="宋体" w:hAnsi="宋体"/>
          <w:b/>
          <w:color w:val="auto"/>
          <w:sz w:val="32"/>
          <w:szCs w:val="32"/>
          <w:highlight w:val="none"/>
        </w:rPr>
        <w:t>采  购  人：</w:t>
      </w:r>
      <w:r>
        <w:rPr>
          <w:rFonts w:hint="eastAsia" w:ascii="宋体" w:hAnsi="宋体"/>
          <w:b/>
          <w:color w:val="auto"/>
          <w:sz w:val="32"/>
          <w:szCs w:val="32"/>
          <w:highlight w:val="none"/>
          <w:u w:val="single"/>
          <w:lang w:eastAsia="zh-CN"/>
        </w:rPr>
        <w:t>界首市商业投资有限公司</w:t>
      </w:r>
    </w:p>
    <w:p>
      <w:pPr>
        <w:spacing w:line="440" w:lineRule="exact"/>
        <w:ind w:right="42" w:rightChars="20"/>
        <w:rPr>
          <w:rFonts w:ascii="宋体" w:hAnsi="宋体" w:cs="Arial"/>
          <w:b/>
          <w:color w:val="auto"/>
          <w:sz w:val="32"/>
          <w:szCs w:val="32"/>
          <w:highlight w:val="none"/>
        </w:rPr>
      </w:pPr>
    </w:p>
    <w:p>
      <w:pPr>
        <w:spacing w:line="440" w:lineRule="exact"/>
        <w:ind w:right="42" w:rightChars="20"/>
        <w:jc w:val="center"/>
        <w:rPr>
          <w:rFonts w:hint="eastAsia" w:ascii="宋体" w:hAnsi="宋体" w:eastAsia="宋体" w:cs="Arial"/>
          <w:b/>
          <w:color w:val="auto"/>
          <w:sz w:val="32"/>
          <w:szCs w:val="32"/>
          <w:highlight w:val="none"/>
          <w:u w:val="single"/>
          <w:lang w:eastAsia="zh-CN"/>
        </w:rPr>
      </w:pPr>
      <w:r>
        <w:rPr>
          <w:rFonts w:hint="eastAsia" w:ascii="宋体" w:hAnsi="宋体" w:cs="Arial"/>
          <w:b/>
          <w:color w:val="auto"/>
          <w:sz w:val="32"/>
          <w:szCs w:val="32"/>
          <w:highlight w:val="none"/>
        </w:rPr>
        <w:t>采购代理机构：</w:t>
      </w:r>
      <w:r>
        <w:rPr>
          <w:rFonts w:hint="eastAsia" w:ascii="宋体" w:hAnsi="宋体" w:cs="Arial"/>
          <w:b/>
          <w:color w:val="auto"/>
          <w:sz w:val="32"/>
          <w:szCs w:val="32"/>
          <w:highlight w:val="none"/>
          <w:u w:val="single"/>
          <w:lang w:eastAsia="zh-CN"/>
        </w:rPr>
        <w:t>安徽首建工程建设项目管理有限公司</w:t>
      </w:r>
    </w:p>
    <w:p>
      <w:pPr>
        <w:spacing w:line="440" w:lineRule="exact"/>
        <w:ind w:right="42" w:rightChars="20"/>
        <w:jc w:val="center"/>
        <w:rPr>
          <w:rFonts w:ascii="宋体" w:hAnsi="宋体" w:cs="Arial"/>
          <w:b/>
          <w:color w:val="auto"/>
          <w:sz w:val="32"/>
          <w:szCs w:val="32"/>
          <w:highlight w:val="none"/>
        </w:rPr>
      </w:pPr>
    </w:p>
    <w:p>
      <w:pPr>
        <w:spacing w:line="440" w:lineRule="exact"/>
        <w:ind w:right="42" w:rightChars="20"/>
        <w:jc w:val="center"/>
        <w:rPr>
          <w:rFonts w:ascii="宋体" w:hAnsi="宋体" w:cs="Arial"/>
          <w:b/>
          <w:color w:val="auto"/>
          <w:sz w:val="32"/>
          <w:szCs w:val="32"/>
          <w:highlight w:val="none"/>
        </w:rPr>
      </w:pPr>
      <w:r>
        <w:rPr>
          <w:rFonts w:ascii="宋体" w:hAnsi="宋体" w:cs="Arial"/>
          <w:b/>
          <w:color w:val="auto"/>
          <w:sz w:val="32"/>
          <w:szCs w:val="32"/>
          <w:highlight w:val="none"/>
          <w:u w:val="single"/>
        </w:rPr>
        <w:t>20</w:t>
      </w:r>
      <w:r>
        <w:rPr>
          <w:rFonts w:hint="eastAsia" w:ascii="宋体" w:hAnsi="宋体" w:cs="Arial"/>
          <w:b/>
          <w:color w:val="auto"/>
          <w:sz w:val="32"/>
          <w:szCs w:val="32"/>
          <w:highlight w:val="none"/>
          <w:u w:val="single"/>
        </w:rPr>
        <w:t>2</w:t>
      </w:r>
      <w:r>
        <w:rPr>
          <w:rFonts w:hint="eastAsia" w:ascii="宋体" w:hAnsi="宋体" w:cs="Arial"/>
          <w:b/>
          <w:color w:val="auto"/>
          <w:sz w:val="32"/>
          <w:szCs w:val="32"/>
          <w:highlight w:val="none"/>
          <w:u w:val="single"/>
          <w:lang w:val="en-US" w:eastAsia="zh-CN"/>
        </w:rPr>
        <w:t>3</w:t>
      </w:r>
      <w:r>
        <w:rPr>
          <w:rFonts w:hint="eastAsia" w:ascii="宋体" w:hAnsi="宋体" w:cs="Arial"/>
          <w:b/>
          <w:color w:val="auto"/>
          <w:sz w:val="32"/>
          <w:szCs w:val="32"/>
          <w:highlight w:val="none"/>
        </w:rPr>
        <w:t>年</w:t>
      </w:r>
      <w:r>
        <w:rPr>
          <w:rFonts w:hint="eastAsia" w:ascii="宋体" w:hAnsi="宋体" w:cs="Arial"/>
          <w:b/>
          <w:color w:val="auto"/>
          <w:sz w:val="32"/>
          <w:szCs w:val="32"/>
          <w:highlight w:val="none"/>
          <w:u w:val="single"/>
        </w:rPr>
        <w:t xml:space="preserve"> </w:t>
      </w:r>
      <w:r>
        <w:rPr>
          <w:rFonts w:hint="eastAsia" w:ascii="宋体" w:hAnsi="宋体" w:cs="Arial"/>
          <w:b/>
          <w:color w:val="auto"/>
          <w:sz w:val="32"/>
          <w:szCs w:val="32"/>
          <w:highlight w:val="none"/>
          <w:u w:val="single"/>
          <w:lang w:val="en-US" w:eastAsia="zh-CN"/>
        </w:rPr>
        <w:t>7</w:t>
      </w:r>
      <w:r>
        <w:rPr>
          <w:rFonts w:hint="eastAsia" w:ascii="宋体" w:hAnsi="宋体" w:cs="Arial"/>
          <w:b/>
          <w:color w:val="auto"/>
          <w:sz w:val="32"/>
          <w:szCs w:val="32"/>
          <w:highlight w:val="none"/>
          <w:u w:val="single"/>
        </w:rPr>
        <w:t xml:space="preserve"> </w:t>
      </w:r>
      <w:r>
        <w:rPr>
          <w:rFonts w:hint="eastAsia" w:ascii="宋体" w:hAnsi="宋体" w:cs="Arial"/>
          <w:b/>
          <w:color w:val="auto"/>
          <w:sz w:val="32"/>
          <w:szCs w:val="32"/>
          <w:highlight w:val="none"/>
        </w:rPr>
        <w:t>月</w:t>
      </w:r>
      <w:r>
        <w:rPr>
          <w:rFonts w:ascii="宋体" w:hAnsi="宋体" w:cs="Arial"/>
          <w:b/>
          <w:color w:val="auto"/>
          <w:sz w:val="32"/>
          <w:szCs w:val="32"/>
          <w:highlight w:val="none"/>
        </w:rPr>
        <w:t xml:space="preserve"> </w:t>
      </w:r>
    </w:p>
    <w:p>
      <w:pPr>
        <w:widowControl/>
        <w:jc w:val="left"/>
        <w:rPr>
          <w:color w:val="auto"/>
          <w:highlight w:val="none"/>
        </w:rPr>
      </w:pPr>
      <w:r>
        <w:rPr>
          <w:rFonts w:ascii="宋体" w:hAnsi="宋体"/>
          <w:color w:val="auto"/>
          <w:sz w:val="32"/>
          <w:szCs w:val="32"/>
          <w:highlight w:val="none"/>
        </w:rPr>
        <w:br w:type="page"/>
      </w:r>
    </w:p>
    <w:p>
      <w:pPr>
        <w:spacing w:before="200" w:line="280" w:lineRule="exact"/>
        <w:jc w:val="center"/>
        <w:rPr>
          <w:rFonts w:ascii="宋体" w:hAnsi="宋体"/>
          <w:color w:val="auto"/>
          <w:highlight w:val="none"/>
        </w:rPr>
      </w:pPr>
    </w:p>
    <w:p>
      <w:pPr>
        <w:spacing w:before="200" w:line="280" w:lineRule="exact"/>
        <w:jc w:val="center"/>
        <w:rPr>
          <w:color w:val="auto"/>
          <w:highlight w:val="none"/>
        </w:rPr>
      </w:pPr>
      <w:r>
        <w:rPr>
          <w:rFonts w:ascii="宋体" w:hAnsi="宋体"/>
          <w:color w:val="auto"/>
          <w:sz w:val="44"/>
          <w:szCs w:val="44"/>
          <w:highlight w:val="none"/>
        </w:rPr>
        <w:t>目录</w:t>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_Toc8077 </w:instrText>
      </w:r>
      <w:r>
        <w:rPr>
          <w:color w:val="auto"/>
          <w:highlight w:val="none"/>
        </w:rPr>
        <w:fldChar w:fldCharType="separate"/>
      </w:r>
      <w:r>
        <w:rPr>
          <w:rFonts w:hint="eastAsia" w:ascii="宋体" w:hAnsi="宋体"/>
          <w:color w:val="auto"/>
          <w:highlight w:val="none"/>
        </w:rPr>
        <w:t>第一章 竞争性磋商公告</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_Toc26327 </w:instrText>
      </w:r>
      <w:r>
        <w:rPr>
          <w:color w:val="auto"/>
          <w:highlight w:val="none"/>
        </w:rPr>
        <w:fldChar w:fldCharType="separate"/>
      </w:r>
      <w:r>
        <w:rPr>
          <w:rFonts w:ascii="宋体" w:hAnsi="宋体"/>
          <w:color w:val="auto"/>
          <w:highlight w:val="none"/>
        </w:rPr>
        <w:t>第二章 供应商须知</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_Toc19146 </w:instrText>
      </w:r>
      <w:r>
        <w:rPr>
          <w:color w:val="auto"/>
          <w:highlight w:val="none"/>
        </w:rPr>
        <w:fldChar w:fldCharType="separate"/>
      </w:r>
      <w:r>
        <w:rPr>
          <w:rFonts w:ascii="宋体" w:hAnsi="宋体"/>
          <w:color w:val="auto"/>
          <w:highlight w:val="none"/>
        </w:rPr>
        <w:t>第三章</w:t>
      </w:r>
      <w:r>
        <w:rPr>
          <w:rFonts w:hint="eastAsia" w:ascii="宋体" w:hAnsi="宋体"/>
          <w:color w:val="auto"/>
          <w:highlight w:val="none"/>
        </w:rPr>
        <w:t xml:space="preserve"> </w:t>
      </w:r>
      <w:r>
        <w:rPr>
          <w:rFonts w:ascii="宋体" w:hAnsi="宋体"/>
          <w:color w:val="auto"/>
          <w:highlight w:val="none"/>
        </w:rPr>
        <w:t xml:space="preserve"> 采购需求</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_Toc22824 </w:instrText>
      </w:r>
      <w:r>
        <w:rPr>
          <w:color w:val="auto"/>
          <w:highlight w:val="none"/>
        </w:rPr>
        <w:fldChar w:fldCharType="separate"/>
      </w:r>
      <w:r>
        <w:rPr>
          <w:rFonts w:ascii="宋体" w:hAnsi="宋体"/>
          <w:color w:val="auto"/>
          <w:highlight w:val="none"/>
        </w:rPr>
        <w:t xml:space="preserve">第四章 </w:t>
      </w:r>
      <w:r>
        <w:rPr>
          <w:rFonts w:hint="eastAsia" w:ascii="宋体" w:hAnsi="宋体"/>
          <w:color w:val="auto"/>
          <w:highlight w:val="none"/>
        </w:rPr>
        <w:t xml:space="preserve"> </w:t>
      </w:r>
      <w:r>
        <w:rPr>
          <w:rFonts w:ascii="宋体" w:hAnsi="宋体"/>
          <w:color w:val="auto"/>
          <w:highlight w:val="none"/>
        </w:rPr>
        <w:t>评审方法和标准</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_Toc18392 </w:instrText>
      </w:r>
      <w:r>
        <w:rPr>
          <w:color w:val="auto"/>
          <w:highlight w:val="none"/>
        </w:rPr>
        <w:fldChar w:fldCharType="separate"/>
      </w:r>
      <w:r>
        <w:rPr>
          <w:rFonts w:ascii="宋体" w:hAnsi="宋体"/>
          <w:color w:val="auto"/>
          <w:highlight w:val="none"/>
        </w:rPr>
        <w:t xml:space="preserve">第五章 </w:t>
      </w:r>
      <w:r>
        <w:rPr>
          <w:rFonts w:hint="eastAsia" w:ascii="宋体" w:hAnsi="宋体"/>
          <w:color w:val="auto"/>
          <w:highlight w:val="none"/>
        </w:rPr>
        <w:t xml:space="preserve"> </w:t>
      </w:r>
      <w:r>
        <w:rPr>
          <w:rFonts w:ascii="宋体" w:hAnsi="宋体"/>
          <w:color w:val="auto"/>
          <w:highlight w:val="none"/>
        </w:rPr>
        <w:t>政府采购合同</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_Toc5404 </w:instrText>
      </w:r>
      <w:r>
        <w:rPr>
          <w:color w:val="auto"/>
          <w:highlight w:val="none"/>
        </w:rPr>
        <w:fldChar w:fldCharType="separate"/>
      </w:r>
      <w:r>
        <w:rPr>
          <w:rFonts w:ascii="宋体" w:hAnsi="宋体"/>
          <w:color w:val="auto"/>
          <w:highlight w:val="none"/>
        </w:rPr>
        <w:t xml:space="preserve">第六章 </w:t>
      </w:r>
      <w:r>
        <w:rPr>
          <w:rFonts w:hint="eastAsia" w:ascii="宋体" w:hAnsi="宋体"/>
          <w:color w:val="auto"/>
          <w:highlight w:val="none"/>
        </w:rPr>
        <w:t xml:space="preserve"> </w:t>
      </w:r>
      <w:r>
        <w:rPr>
          <w:rFonts w:ascii="宋体" w:hAnsi="宋体"/>
          <w:color w:val="auto"/>
          <w:highlight w:val="none"/>
        </w:rPr>
        <w:t>响应文件格式</w:t>
      </w:r>
      <w:r>
        <w:rPr>
          <w:color w:val="auto"/>
          <w:highlight w:val="none"/>
        </w:rPr>
        <w:tab/>
      </w:r>
      <w:r>
        <w:rPr>
          <w:color w:val="auto"/>
          <w:highlight w:val="none"/>
        </w:rPr>
        <w:fldChar w:fldCharType="end"/>
      </w:r>
    </w:p>
    <w:p>
      <w:pPr>
        <w:pStyle w:val="29"/>
        <w:tabs>
          <w:tab w:val="right" w:leader="dot" w:pos="9430"/>
        </w:tabs>
        <w:rPr>
          <w:color w:val="auto"/>
          <w:highlight w:val="none"/>
        </w:rPr>
      </w:pPr>
    </w:p>
    <w:p>
      <w:pPr>
        <w:spacing w:before="200" w:line="280" w:lineRule="exact"/>
        <w:jc w:val="center"/>
        <w:rPr>
          <w:rFonts w:ascii="宋体" w:hAnsi="宋体" w:cs="宋体"/>
          <w:b/>
          <w:color w:val="auto"/>
          <w:sz w:val="36"/>
          <w:szCs w:val="28"/>
          <w:highlight w:val="none"/>
        </w:rPr>
        <w:sectPr>
          <w:pgSz w:w="11910" w:h="16850"/>
          <w:pgMar w:top="1400" w:right="1240" w:bottom="1460" w:left="1240" w:header="877" w:footer="1266" w:gutter="0"/>
          <w:pgBorders>
            <w:top w:val="none" w:sz="0" w:space="0"/>
            <w:left w:val="none" w:sz="0" w:space="0"/>
            <w:bottom w:val="none" w:sz="0" w:space="0"/>
            <w:right w:val="none" w:sz="0" w:space="0"/>
          </w:pgBorders>
          <w:cols w:space="720" w:num="1"/>
        </w:sectPr>
      </w:pPr>
    </w:p>
    <w:p>
      <w:pPr>
        <w:pStyle w:val="2"/>
        <w:ind w:firstLine="320"/>
        <w:rPr>
          <w:color w:val="auto"/>
          <w:highlight w:val="none"/>
        </w:rPr>
      </w:pPr>
    </w:p>
    <w:p>
      <w:pPr>
        <w:pStyle w:val="4"/>
        <w:tabs>
          <w:tab w:val="left" w:pos="0"/>
        </w:tabs>
        <w:autoSpaceDE w:val="0"/>
        <w:autoSpaceDN w:val="0"/>
        <w:adjustRightInd w:val="0"/>
        <w:spacing w:before="0" w:after="0" w:line="360" w:lineRule="auto"/>
        <w:jc w:val="center"/>
        <w:rPr>
          <w:rFonts w:ascii="宋体" w:hAnsi="宋体"/>
          <w:color w:val="auto"/>
          <w:sz w:val="32"/>
          <w:szCs w:val="32"/>
          <w:highlight w:val="none"/>
        </w:rPr>
      </w:pPr>
      <w:bookmarkStart w:id="0" w:name="_Toc8077"/>
      <w:r>
        <w:rPr>
          <w:rFonts w:hint="eastAsia" w:ascii="宋体" w:hAnsi="宋体"/>
          <w:color w:val="auto"/>
          <w:sz w:val="32"/>
          <w:szCs w:val="32"/>
          <w:highlight w:val="none"/>
        </w:rPr>
        <w:t>第一章 竞争性磋商公告</w:t>
      </w:r>
      <w:bookmarkEnd w:id="0"/>
    </w:p>
    <w:p>
      <w:pPr>
        <w:rPr>
          <w:rFonts w:ascii="宋体" w:hAnsi="宋体"/>
          <w:color w:val="auto"/>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r>
        <w:rPr>
          <w:rFonts w:hint="eastAsia" w:ascii="宋体" w:hAnsi="宋体"/>
          <w:color w:val="auto"/>
          <w:highlight w:val="none"/>
          <w:u w:val="single"/>
          <w:lang w:eastAsia="zh-CN"/>
        </w:rPr>
        <w:t>界首市和兴路农贸市场11-16层空调采购项目</w:t>
      </w:r>
      <w:r>
        <w:rPr>
          <w:rFonts w:hint="eastAsia" w:ascii="宋体" w:hAnsi="宋体"/>
          <w:color w:val="auto"/>
          <w:highlight w:val="none"/>
        </w:rPr>
        <w:t>的潜在供应商应在</w:t>
      </w:r>
      <w:r>
        <w:rPr>
          <w:rFonts w:hint="eastAsia" w:ascii="宋体" w:hAnsi="宋体"/>
          <w:color w:val="auto"/>
          <w:highlight w:val="none"/>
          <w:lang w:eastAsia="zh-CN"/>
        </w:rPr>
        <w:t>安徽融城高新集团网站</w:t>
      </w:r>
      <w:r>
        <w:rPr>
          <w:rFonts w:hint="eastAsia" w:ascii="宋体" w:hAnsi="宋体" w:cs="宋体"/>
          <w:color w:val="auto"/>
          <w:kern w:val="0"/>
          <w:highlight w:val="none"/>
        </w:rPr>
        <w:t>上</w:t>
      </w:r>
      <w:r>
        <w:rPr>
          <w:rFonts w:hint="eastAsia" w:ascii="宋体" w:hAnsi="宋体"/>
          <w:color w:val="auto"/>
          <w:highlight w:val="none"/>
        </w:rPr>
        <w:t>获取采购文件，并于</w:t>
      </w:r>
      <w:r>
        <w:rPr>
          <w:rFonts w:hint="eastAsia" w:ascii="宋体" w:hAnsi="宋体"/>
          <w:color w:val="auto"/>
          <w:highlight w:val="none"/>
          <w:u w:val="single"/>
        </w:rPr>
        <w:t xml:space="preserve"> 202</w:t>
      </w:r>
      <w:r>
        <w:rPr>
          <w:rFonts w:hint="eastAsia" w:ascii="宋体" w:hAnsi="宋体"/>
          <w:color w:val="auto"/>
          <w:highlight w:val="none"/>
          <w:u w:val="single"/>
          <w:lang w:val="en-US" w:eastAsia="zh-CN"/>
        </w:rPr>
        <w:t>3</w:t>
      </w:r>
      <w:r>
        <w:rPr>
          <w:rFonts w:hint="eastAsia" w:ascii="宋体" w:hAnsi="宋体"/>
          <w:bCs/>
          <w:color w:val="auto"/>
          <w:highlight w:val="none"/>
          <w:u w:val="single"/>
        </w:rPr>
        <w:t>年0</w:t>
      </w:r>
      <w:r>
        <w:rPr>
          <w:rFonts w:hint="eastAsia" w:ascii="宋体" w:hAnsi="宋体"/>
          <w:bCs/>
          <w:color w:val="auto"/>
          <w:highlight w:val="none"/>
          <w:u w:val="single"/>
          <w:lang w:val="en-US" w:eastAsia="zh-CN"/>
        </w:rPr>
        <w:t>7</w:t>
      </w:r>
      <w:r>
        <w:rPr>
          <w:rFonts w:hint="eastAsia" w:ascii="宋体" w:hAnsi="宋体"/>
          <w:bCs/>
          <w:color w:val="auto"/>
          <w:highlight w:val="none"/>
          <w:u w:val="single"/>
        </w:rPr>
        <w:t>月</w:t>
      </w:r>
      <w:r>
        <w:rPr>
          <w:rFonts w:hint="eastAsia" w:ascii="宋体" w:hAnsi="宋体"/>
          <w:bCs/>
          <w:color w:val="auto"/>
          <w:highlight w:val="none"/>
          <w:u w:val="single"/>
          <w:lang w:val="en-US" w:eastAsia="zh-CN"/>
        </w:rPr>
        <w:t>18</w:t>
      </w:r>
      <w:r>
        <w:rPr>
          <w:rFonts w:hint="eastAsia" w:ascii="宋体" w:hAnsi="宋体"/>
          <w:bCs/>
          <w:color w:val="auto"/>
          <w:highlight w:val="none"/>
          <w:u w:val="single"/>
        </w:rPr>
        <w:t>日</w:t>
      </w:r>
      <w:r>
        <w:rPr>
          <w:rFonts w:hint="eastAsia" w:ascii="宋体" w:hAnsi="宋体"/>
          <w:bCs/>
          <w:color w:val="auto"/>
          <w:highlight w:val="none"/>
          <w:u w:val="single"/>
          <w:lang w:val="en-US" w:eastAsia="zh-CN"/>
        </w:rPr>
        <w:t>15</w:t>
      </w:r>
      <w:r>
        <w:rPr>
          <w:rFonts w:hint="eastAsia" w:ascii="宋体" w:hAnsi="宋体"/>
          <w:bCs/>
          <w:color w:val="auto"/>
          <w:highlight w:val="none"/>
          <w:u w:val="single"/>
        </w:rPr>
        <w:t>点00分</w:t>
      </w:r>
      <w:r>
        <w:rPr>
          <w:rFonts w:hint="eastAsia" w:ascii="宋体" w:hAnsi="宋体"/>
          <w:bCs/>
          <w:color w:val="auto"/>
          <w:highlight w:val="none"/>
        </w:rPr>
        <w:t>（北京时间）前提交响应文件</w:t>
      </w:r>
      <w:r>
        <w:rPr>
          <w:rFonts w:hint="eastAsia" w:ascii="宋体" w:hAnsi="宋体"/>
          <w:color w:val="auto"/>
          <w:highlight w:val="none"/>
        </w:rPr>
        <w:t>。</w:t>
      </w:r>
    </w:p>
    <w:p>
      <w:pPr>
        <w:pStyle w:val="5"/>
        <w:spacing w:line="360" w:lineRule="auto"/>
        <w:rPr>
          <w:rFonts w:ascii="宋体" w:hAnsi="宋体"/>
          <w:color w:val="auto"/>
          <w:highlight w:val="none"/>
        </w:rPr>
      </w:pPr>
      <w:bookmarkStart w:id="1" w:name="_Toc28359012"/>
      <w:bookmarkStart w:id="2" w:name="_Toc35393629"/>
      <w:bookmarkStart w:id="3" w:name="_Toc35393798"/>
      <w:bookmarkStart w:id="4" w:name="_Toc28359089"/>
      <w:r>
        <w:rPr>
          <w:rFonts w:hint="eastAsia" w:ascii="宋体" w:hAnsi="宋体" w:eastAsia="宋体" w:cs="宋体"/>
          <w:bCs w:val="0"/>
          <w:color w:val="auto"/>
          <w:sz w:val="21"/>
          <w:szCs w:val="21"/>
          <w:highlight w:val="none"/>
        </w:rPr>
        <w:t>一、项目基本情况</w:t>
      </w:r>
      <w:bookmarkEnd w:id="1"/>
      <w:bookmarkEnd w:id="2"/>
      <w:bookmarkEnd w:id="3"/>
      <w:bookmarkEnd w:id="4"/>
      <w:r>
        <w:rPr>
          <w:rFonts w:hint="eastAsia" w:ascii="宋体" w:hAnsi="宋体"/>
          <w:color w:val="auto"/>
          <w:highlight w:val="none"/>
        </w:rPr>
        <w:t xml:space="preserve">   </w:t>
      </w:r>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lang w:eastAsia="zh-CN"/>
        </w:rPr>
        <w:t>界首市和兴路农贸市场11-16层空调采购项目</w:t>
      </w:r>
      <w:r>
        <w:rPr>
          <w:rFonts w:hint="eastAsia" w:ascii="宋体" w:hAnsi="宋体"/>
          <w:color w:val="auto"/>
          <w:highlight w:val="non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采购方式：竞争性磋商</w:t>
      </w:r>
    </w:p>
    <w:p>
      <w:pPr>
        <w:spacing w:line="360" w:lineRule="auto"/>
        <w:ind w:firstLine="420" w:firstLineChars="200"/>
        <w:rPr>
          <w:rFonts w:ascii="宋体" w:hAnsi="宋体"/>
          <w:color w:val="auto"/>
          <w:highlight w:val="none"/>
        </w:rPr>
      </w:pPr>
      <w:r>
        <w:rPr>
          <w:rFonts w:hint="eastAsia" w:ascii="宋体" w:hAnsi="宋体"/>
          <w:color w:val="auto"/>
          <w:highlight w:val="none"/>
        </w:rPr>
        <w:t>预算金额：</w:t>
      </w:r>
      <w:r>
        <w:rPr>
          <w:rFonts w:hint="eastAsia" w:ascii="宋体" w:hAnsi="宋体"/>
          <w:color w:val="auto"/>
          <w:highlight w:val="none"/>
          <w:lang w:val="en-US" w:eastAsia="zh-CN"/>
        </w:rPr>
        <w:t>454800.00</w:t>
      </w:r>
      <w:r>
        <w:rPr>
          <w:rFonts w:hint="eastAsia" w:ascii="宋体" w:hAnsi="宋体"/>
          <w:color w:val="auto"/>
          <w:highlight w:val="none"/>
        </w:rPr>
        <w:t xml:space="preserve">元    </w:t>
      </w:r>
    </w:p>
    <w:p>
      <w:pPr>
        <w:spacing w:line="360" w:lineRule="auto"/>
        <w:ind w:firstLine="420" w:firstLineChars="200"/>
        <w:rPr>
          <w:rFonts w:ascii="宋体" w:hAnsi="宋体"/>
          <w:color w:val="auto"/>
          <w:highlight w:val="none"/>
        </w:rPr>
      </w:pPr>
      <w:r>
        <w:rPr>
          <w:rFonts w:hint="eastAsia" w:ascii="宋体" w:hAnsi="宋体"/>
          <w:color w:val="auto"/>
          <w:highlight w:val="none"/>
        </w:rPr>
        <w:t>最高限价：</w:t>
      </w:r>
      <w:r>
        <w:rPr>
          <w:rFonts w:hint="eastAsia" w:ascii="宋体" w:hAnsi="宋体"/>
          <w:color w:val="auto"/>
          <w:highlight w:val="none"/>
          <w:lang w:val="en-US" w:eastAsia="zh-CN"/>
        </w:rPr>
        <w:t>454800.00</w:t>
      </w:r>
      <w:r>
        <w:rPr>
          <w:rFonts w:hint="eastAsia" w:ascii="宋体" w:hAnsi="宋体"/>
          <w:color w:val="auto"/>
          <w:highlight w:val="none"/>
        </w:rPr>
        <w:t xml:space="preserve">元，供应商响应报价高于或等于最高响应限价的作无效标处理。     </w:t>
      </w:r>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采购需求：</w:t>
      </w:r>
      <w:r>
        <w:rPr>
          <w:rFonts w:hint="eastAsia" w:ascii="宋体" w:hAnsi="宋体"/>
          <w:color w:val="auto"/>
          <w:highlight w:val="none"/>
          <w:lang w:eastAsia="zh-CN"/>
        </w:rPr>
        <w:t>界首市和兴路农贸市场11-16层空调采购项目</w:t>
      </w:r>
      <w:r>
        <w:rPr>
          <w:rFonts w:hint="eastAsia" w:ascii="宋体" w:hAnsi="宋体"/>
          <w:color w:val="auto"/>
          <w:highlight w:val="none"/>
        </w:rPr>
        <w:t xml:space="preserve">，具体详见竞争性磋商文件。  </w:t>
      </w:r>
    </w:p>
    <w:p>
      <w:pPr>
        <w:spacing w:line="360" w:lineRule="auto"/>
        <w:ind w:firstLine="420" w:firstLineChars="200"/>
        <w:rPr>
          <w:rFonts w:ascii="宋体" w:hAnsi="宋体"/>
          <w:color w:val="auto"/>
          <w:highlight w:val="none"/>
        </w:rPr>
      </w:pPr>
      <w:r>
        <w:rPr>
          <w:rFonts w:hint="eastAsia" w:ascii="宋体" w:hAnsi="宋体"/>
          <w:color w:val="auto"/>
          <w:highlight w:val="none"/>
        </w:rPr>
        <w:t>本项目不接受联合体。</w:t>
      </w:r>
    </w:p>
    <w:p>
      <w:pPr>
        <w:pStyle w:val="5"/>
        <w:spacing w:line="360" w:lineRule="auto"/>
        <w:rPr>
          <w:rFonts w:ascii="宋体" w:hAnsi="宋体" w:eastAsia="宋体" w:cs="宋体"/>
          <w:bCs w:val="0"/>
          <w:color w:val="auto"/>
          <w:sz w:val="21"/>
          <w:szCs w:val="21"/>
          <w:highlight w:val="none"/>
        </w:rPr>
      </w:pPr>
      <w:bookmarkStart w:id="5" w:name="_Toc35393799"/>
      <w:bookmarkStart w:id="6" w:name="_Toc35393630"/>
      <w:bookmarkStart w:id="7" w:name="_Toc28359013"/>
      <w:bookmarkStart w:id="8" w:name="_Toc28359090"/>
      <w:r>
        <w:rPr>
          <w:rFonts w:hint="eastAsia" w:ascii="宋体" w:hAnsi="宋体" w:eastAsia="宋体" w:cs="宋体"/>
          <w:bCs w:val="0"/>
          <w:color w:val="auto"/>
          <w:sz w:val="21"/>
          <w:szCs w:val="21"/>
          <w:highlight w:val="none"/>
        </w:rPr>
        <w:t>二、申请人的资格要求：</w:t>
      </w:r>
      <w:bookmarkEnd w:id="5"/>
      <w:bookmarkEnd w:id="6"/>
      <w:bookmarkEnd w:id="7"/>
      <w:bookmarkEnd w:id="8"/>
    </w:p>
    <w:p>
      <w:pPr>
        <w:spacing w:line="360" w:lineRule="auto"/>
        <w:ind w:firstLine="420" w:firstLineChars="200"/>
        <w:rPr>
          <w:rFonts w:ascii="宋体" w:hAnsi="宋体"/>
          <w:color w:val="auto"/>
          <w:highlight w:val="none"/>
        </w:rPr>
      </w:pPr>
      <w:bookmarkStart w:id="9" w:name="_Toc28359014"/>
      <w:bookmarkStart w:id="10" w:name="_Toc28359091"/>
      <w:r>
        <w:rPr>
          <w:rFonts w:hint="eastAsia" w:ascii="宋体" w:hAnsi="宋体"/>
          <w:color w:val="auto"/>
          <w:highlight w:val="none"/>
        </w:rPr>
        <w:t>1、符合《政府采购法》第二十二条要求；</w:t>
      </w:r>
    </w:p>
    <w:p>
      <w:pPr>
        <w:spacing w:line="360" w:lineRule="auto"/>
        <w:ind w:firstLine="420" w:firstLineChars="200"/>
        <w:rPr>
          <w:rFonts w:ascii="宋体" w:hAnsi="宋体"/>
          <w:color w:val="auto"/>
          <w:highlight w:val="none"/>
        </w:rPr>
      </w:pPr>
      <w:r>
        <w:rPr>
          <w:rFonts w:hint="eastAsia" w:ascii="宋体" w:hAnsi="宋体"/>
          <w:color w:val="auto"/>
          <w:highlight w:val="none"/>
        </w:rPr>
        <w:t>2、必须是在中华人民共和国境内注册，独立法人资格；</w:t>
      </w:r>
    </w:p>
    <w:p>
      <w:pPr>
        <w:spacing w:line="360" w:lineRule="auto"/>
        <w:ind w:firstLine="420" w:firstLineChars="200"/>
        <w:rPr>
          <w:rFonts w:ascii="宋体" w:hAnsi="宋体"/>
          <w:color w:val="auto"/>
          <w:highlight w:val="none"/>
        </w:rPr>
      </w:pPr>
      <w:r>
        <w:rPr>
          <w:rFonts w:hint="eastAsia" w:ascii="宋体" w:hAnsi="宋体"/>
          <w:color w:val="auto"/>
          <w:highlight w:val="none"/>
        </w:rPr>
        <w:t>3、具有有效的营业执照（包含相关经营范围）；</w:t>
      </w:r>
    </w:p>
    <w:p>
      <w:pPr>
        <w:pStyle w:val="11"/>
        <w:ind w:left="0" w:leftChars="0" w:firstLine="0" w:firstLineChars="0"/>
        <w:rPr>
          <w:color w:val="auto"/>
          <w:highlight w:val="none"/>
        </w:rPr>
      </w:pPr>
      <w:r>
        <w:rPr>
          <w:rFonts w:hint="eastAsia" w:ascii="宋体" w:hAnsi="宋体"/>
          <w:color w:val="auto"/>
          <w:highlight w:val="none"/>
        </w:rPr>
        <w:t xml:space="preserve">    4、本次采购采用资格后审方式，在整个采购过程中磋商小组将对供应商资质进行审查，若发现供应商条件不符合或不真实，可随时取消其响应或成交资格。因参加本次活动产生的一切费用及经济损失由供应商自行承担。</w:t>
      </w:r>
    </w:p>
    <w:p>
      <w:pPr>
        <w:pStyle w:val="5"/>
        <w:spacing w:line="360" w:lineRule="auto"/>
        <w:rPr>
          <w:rFonts w:ascii="宋体" w:hAnsi="宋体" w:eastAsia="宋体" w:cs="宋体"/>
          <w:bCs w:val="0"/>
          <w:color w:val="auto"/>
          <w:sz w:val="21"/>
          <w:szCs w:val="21"/>
          <w:highlight w:val="none"/>
        </w:rPr>
      </w:pPr>
      <w:bookmarkStart w:id="11" w:name="_Toc35393800"/>
      <w:bookmarkStart w:id="12" w:name="_Toc35393631"/>
      <w:r>
        <w:rPr>
          <w:rFonts w:hint="eastAsia" w:ascii="宋体" w:hAnsi="宋体" w:eastAsia="宋体" w:cs="宋体"/>
          <w:bCs w:val="0"/>
          <w:color w:val="auto"/>
          <w:sz w:val="21"/>
          <w:szCs w:val="21"/>
          <w:highlight w:val="none"/>
        </w:rPr>
        <w:t>三、获取采购文件</w:t>
      </w:r>
      <w:bookmarkEnd w:id="9"/>
      <w:bookmarkEnd w:id="10"/>
      <w:bookmarkEnd w:id="11"/>
      <w:bookmarkEnd w:id="12"/>
    </w:p>
    <w:p>
      <w:pPr>
        <w:widowControl/>
        <w:spacing w:line="360" w:lineRule="auto"/>
        <w:ind w:firstLine="420" w:firstLineChars="200"/>
        <w:rPr>
          <w:rFonts w:ascii="宋体" w:hAnsi="宋体" w:cs="宋体"/>
          <w:color w:val="auto"/>
          <w:kern w:val="0"/>
          <w:highlight w:val="none"/>
          <w:shd w:val="clear" w:color="auto" w:fill="FFFFFF"/>
        </w:rPr>
      </w:pPr>
      <w:bookmarkStart w:id="13" w:name="_Toc35393632"/>
      <w:bookmarkStart w:id="14" w:name="_Toc28359015"/>
      <w:bookmarkStart w:id="15" w:name="_Toc28359092"/>
      <w:bookmarkStart w:id="16" w:name="_Toc35393801"/>
      <w:r>
        <w:rPr>
          <w:rFonts w:hint="eastAsia" w:ascii="宋体" w:hAnsi="宋体" w:cs="宋体"/>
          <w:color w:val="auto"/>
          <w:kern w:val="0"/>
          <w:highlight w:val="none"/>
        </w:rPr>
        <w:t>1、自采购公告发布之日起，凡有意参加的供应商，可在</w:t>
      </w:r>
      <w:r>
        <w:rPr>
          <w:rFonts w:hint="eastAsia" w:ascii="宋体" w:hAnsi="宋体" w:cs="宋体"/>
          <w:color w:val="auto"/>
          <w:kern w:val="0"/>
          <w:highlight w:val="none"/>
          <w:lang w:eastAsia="zh-CN"/>
        </w:rPr>
        <w:t>安徽融城高新集团网站</w:t>
      </w:r>
      <w:r>
        <w:rPr>
          <w:rFonts w:hint="eastAsia" w:ascii="宋体" w:hAnsi="宋体" w:cs="宋体"/>
          <w:color w:val="auto"/>
          <w:kern w:val="0"/>
          <w:highlight w:val="none"/>
        </w:rPr>
        <w:t>下载采购文件。</w:t>
      </w:r>
      <w:r>
        <w:rPr>
          <w:rFonts w:hint="eastAsia" w:ascii="宋体" w:hAnsi="宋体" w:cs="宋体"/>
          <w:color w:val="auto"/>
          <w:kern w:val="0"/>
          <w:highlight w:val="none"/>
          <w:shd w:val="clear" w:color="auto" w:fill="FFFFFF"/>
        </w:rPr>
        <w:t xml:space="preserve"> </w:t>
      </w:r>
    </w:p>
    <w:p>
      <w:pPr>
        <w:pStyle w:val="11"/>
        <w:ind w:left="0" w:leftChars="0" w:firstLine="0" w:firstLineChars="0"/>
        <w:rPr>
          <w:rFonts w:eastAsia="宋体"/>
          <w:color w:val="auto"/>
          <w:highlight w:val="none"/>
        </w:rPr>
      </w:pPr>
      <w:r>
        <w:rPr>
          <w:rFonts w:hint="eastAsia" w:ascii="宋体" w:hAnsi="宋体" w:eastAsia="宋体" w:cs="宋体"/>
          <w:color w:val="auto"/>
          <w:kern w:val="0"/>
          <w:highlight w:val="none"/>
          <w:shd w:val="clear" w:color="auto" w:fill="FFFFFF"/>
        </w:rPr>
        <w:t xml:space="preserve">    2、竞争性磋商文件发售费用</w:t>
      </w:r>
      <w:r>
        <w:rPr>
          <w:rFonts w:hint="eastAsia" w:ascii="宋体" w:hAnsi="宋体" w:eastAsia="宋体" w:cs="宋体"/>
          <w:color w:val="auto"/>
          <w:kern w:val="0"/>
          <w:highlight w:val="none"/>
          <w:shd w:val="clear" w:color="auto" w:fill="FFFFFF"/>
          <w:lang w:val="en-US" w:eastAsia="zh-CN"/>
        </w:rPr>
        <w:t>50</w:t>
      </w:r>
      <w:r>
        <w:rPr>
          <w:rFonts w:hint="eastAsia" w:ascii="宋体" w:hAnsi="宋体" w:eastAsia="宋体" w:cs="宋体"/>
          <w:color w:val="auto"/>
          <w:kern w:val="0"/>
          <w:highlight w:val="none"/>
          <w:shd w:val="clear" w:color="auto" w:fill="FFFFFF"/>
        </w:rPr>
        <w:t>0元/每份，售后不退，递交响应文件同时交纳。未交纳磋商文件费的，采购人将拒绝接受其响应文件（本项目文件发售费只接收现金）。</w:t>
      </w:r>
      <w:bookmarkStart w:id="160" w:name="_GoBack"/>
      <w:bookmarkEnd w:id="160"/>
    </w:p>
    <w:p>
      <w:pPr>
        <w:pStyle w:val="5"/>
        <w:spacing w:line="360" w:lineRule="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四、响应文件提交</w:t>
      </w:r>
      <w:bookmarkEnd w:id="13"/>
      <w:bookmarkEnd w:id="14"/>
      <w:bookmarkEnd w:id="15"/>
      <w:bookmarkEnd w:id="16"/>
    </w:p>
    <w:p>
      <w:pPr>
        <w:spacing w:line="360" w:lineRule="auto"/>
        <w:ind w:firstLine="420" w:firstLineChars="200"/>
        <w:rPr>
          <w:rFonts w:ascii="宋体" w:hAnsi="宋体"/>
          <w:bCs/>
          <w:color w:val="auto"/>
          <w:highlight w:val="none"/>
        </w:rPr>
      </w:pPr>
      <w:r>
        <w:rPr>
          <w:rFonts w:hint="eastAsia" w:ascii="宋体" w:hAnsi="宋体"/>
          <w:color w:val="auto"/>
          <w:highlight w:val="none"/>
        </w:rPr>
        <w:t>1、截止时间：</w:t>
      </w:r>
      <w:r>
        <w:rPr>
          <w:rFonts w:hint="eastAsia" w:ascii="宋体" w:hAnsi="宋体"/>
          <w:color w:val="auto"/>
          <w:highlight w:val="none"/>
          <w:u w:val="single"/>
        </w:rPr>
        <w:t xml:space="preserve"> 202</w:t>
      </w:r>
      <w:r>
        <w:rPr>
          <w:rFonts w:hint="eastAsia" w:ascii="宋体" w:hAnsi="宋体"/>
          <w:color w:val="auto"/>
          <w:highlight w:val="none"/>
          <w:u w:val="single"/>
          <w:lang w:val="en-US" w:eastAsia="zh-CN"/>
        </w:rPr>
        <w:t>3</w:t>
      </w:r>
      <w:r>
        <w:rPr>
          <w:rFonts w:hint="eastAsia" w:ascii="宋体" w:hAnsi="宋体"/>
          <w:color w:val="auto"/>
          <w:highlight w:val="none"/>
          <w:u w:val="single"/>
        </w:rPr>
        <w:t>年0</w:t>
      </w:r>
      <w:r>
        <w:rPr>
          <w:rFonts w:hint="eastAsia" w:ascii="宋体" w:hAnsi="宋体"/>
          <w:color w:val="auto"/>
          <w:highlight w:val="none"/>
          <w:u w:val="single"/>
          <w:lang w:val="en-US" w:eastAsia="zh-CN"/>
        </w:rPr>
        <w:t>7</w:t>
      </w:r>
      <w:r>
        <w:rPr>
          <w:rFonts w:hint="eastAsia" w:ascii="宋体" w:hAnsi="宋体"/>
          <w:color w:val="auto"/>
          <w:highlight w:val="none"/>
          <w:u w:val="single"/>
        </w:rPr>
        <w:t>月</w:t>
      </w:r>
      <w:r>
        <w:rPr>
          <w:rFonts w:hint="eastAsia" w:ascii="宋体" w:hAnsi="宋体"/>
          <w:color w:val="auto"/>
          <w:highlight w:val="none"/>
          <w:u w:val="single"/>
          <w:lang w:val="en-US" w:eastAsia="zh-CN"/>
        </w:rPr>
        <w:t>18</w:t>
      </w:r>
      <w:r>
        <w:rPr>
          <w:rFonts w:hint="eastAsia" w:ascii="宋体" w:hAnsi="宋体"/>
          <w:color w:val="auto"/>
          <w:highlight w:val="none"/>
          <w:u w:val="single"/>
        </w:rPr>
        <w:t>日</w:t>
      </w:r>
      <w:r>
        <w:rPr>
          <w:rFonts w:hint="eastAsia" w:ascii="宋体" w:hAnsi="宋体"/>
          <w:color w:val="auto"/>
          <w:highlight w:val="none"/>
          <w:u w:val="single"/>
          <w:lang w:val="en-US" w:eastAsia="zh-CN"/>
        </w:rPr>
        <w:t>15</w:t>
      </w:r>
      <w:r>
        <w:rPr>
          <w:rFonts w:hint="eastAsia" w:ascii="宋体" w:hAnsi="宋体"/>
          <w:color w:val="auto"/>
          <w:highlight w:val="none"/>
          <w:u w:val="single"/>
        </w:rPr>
        <w:t>点00分</w:t>
      </w:r>
      <w:r>
        <w:rPr>
          <w:rFonts w:hint="eastAsia" w:ascii="宋体" w:hAnsi="宋体"/>
          <w:bCs/>
          <w:color w:val="auto"/>
          <w:highlight w:val="none"/>
        </w:rPr>
        <w:t>（北京时间），迟于截止时间递交的响应文件，将不予接收。</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2、地点：</w:t>
      </w:r>
      <w:r>
        <w:rPr>
          <w:rFonts w:hint="eastAsia" w:ascii="宋体" w:hAnsi="宋体"/>
          <w:color w:val="auto"/>
          <w:highlight w:val="none"/>
          <w:lang w:eastAsia="zh-CN"/>
        </w:rPr>
        <w:t>界首市商业投资有限公司会议室</w:t>
      </w:r>
    </w:p>
    <w:p>
      <w:pPr>
        <w:pStyle w:val="5"/>
        <w:spacing w:line="360" w:lineRule="auto"/>
        <w:rPr>
          <w:rFonts w:ascii="宋体" w:hAnsi="宋体" w:eastAsia="宋体" w:cs="宋体"/>
          <w:bCs w:val="0"/>
          <w:color w:val="auto"/>
          <w:sz w:val="21"/>
          <w:szCs w:val="21"/>
          <w:highlight w:val="none"/>
        </w:rPr>
      </w:pPr>
      <w:bookmarkStart w:id="17" w:name="_Toc35393633"/>
      <w:bookmarkStart w:id="18" w:name="_Toc28359093"/>
      <w:bookmarkStart w:id="19" w:name="_Toc35393802"/>
      <w:bookmarkStart w:id="20" w:name="_Toc28359016"/>
      <w:r>
        <w:rPr>
          <w:rFonts w:hint="eastAsia" w:ascii="宋体" w:hAnsi="宋体" w:eastAsia="宋体" w:cs="宋体"/>
          <w:bCs w:val="0"/>
          <w:color w:val="auto"/>
          <w:sz w:val="21"/>
          <w:szCs w:val="21"/>
          <w:highlight w:val="none"/>
        </w:rPr>
        <w:t>五、开启</w:t>
      </w:r>
      <w:bookmarkEnd w:id="17"/>
      <w:bookmarkEnd w:id="18"/>
      <w:bookmarkEnd w:id="19"/>
      <w:bookmarkEnd w:id="20"/>
    </w:p>
    <w:p>
      <w:pPr>
        <w:spacing w:line="360" w:lineRule="auto"/>
        <w:ind w:firstLine="420" w:firstLineChars="200"/>
        <w:rPr>
          <w:rFonts w:ascii="宋体" w:hAnsi="宋体"/>
          <w:bCs/>
          <w:color w:val="auto"/>
          <w:highlight w:val="none"/>
          <w:u w:val="single"/>
        </w:rPr>
      </w:pPr>
      <w:r>
        <w:rPr>
          <w:rFonts w:hint="eastAsia" w:ascii="宋体" w:hAnsi="宋体"/>
          <w:color w:val="auto"/>
          <w:highlight w:val="none"/>
        </w:rPr>
        <w:t>时间：</w:t>
      </w:r>
      <w:r>
        <w:rPr>
          <w:rFonts w:hint="eastAsia" w:ascii="宋体" w:hAnsi="宋体" w:cs="宋体"/>
          <w:color w:val="auto"/>
          <w:kern w:val="0"/>
          <w:highlight w:val="none"/>
        </w:rPr>
        <w:t>同响应文件提交截止时间。</w:t>
      </w:r>
    </w:p>
    <w:p>
      <w:pPr>
        <w:spacing w:line="360" w:lineRule="auto"/>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cs="宋体"/>
          <w:color w:val="auto"/>
          <w:kern w:val="0"/>
          <w:highlight w:val="none"/>
        </w:rPr>
        <w:t>同响应文件提交地点。</w:t>
      </w:r>
    </w:p>
    <w:p>
      <w:pPr>
        <w:pStyle w:val="5"/>
        <w:spacing w:line="360" w:lineRule="auto"/>
        <w:rPr>
          <w:rFonts w:ascii="宋体" w:hAnsi="宋体" w:eastAsia="宋体" w:cs="宋体"/>
          <w:bCs w:val="0"/>
          <w:color w:val="auto"/>
          <w:sz w:val="21"/>
          <w:szCs w:val="21"/>
          <w:highlight w:val="none"/>
        </w:rPr>
      </w:pPr>
      <w:bookmarkStart w:id="21" w:name="_Toc35393803"/>
      <w:bookmarkStart w:id="22" w:name="_Toc28359094"/>
      <w:bookmarkStart w:id="23" w:name="_Toc28359017"/>
      <w:bookmarkStart w:id="24" w:name="_Toc35393634"/>
      <w:r>
        <w:rPr>
          <w:rFonts w:hint="eastAsia" w:ascii="宋体" w:hAnsi="宋体" w:eastAsia="宋体" w:cs="宋体"/>
          <w:bCs w:val="0"/>
          <w:color w:val="auto"/>
          <w:sz w:val="21"/>
          <w:szCs w:val="21"/>
          <w:highlight w:val="none"/>
        </w:rPr>
        <w:t>六、公告期限</w:t>
      </w:r>
      <w:bookmarkEnd w:id="21"/>
      <w:bookmarkEnd w:id="22"/>
      <w:bookmarkEnd w:id="23"/>
      <w:bookmarkEnd w:id="24"/>
    </w:p>
    <w:p>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自本公告发布之日起3个工作日。</w:t>
      </w:r>
    </w:p>
    <w:p>
      <w:pPr>
        <w:pStyle w:val="5"/>
        <w:spacing w:line="360" w:lineRule="auto"/>
        <w:rPr>
          <w:rFonts w:hint="eastAsia" w:ascii="宋体" w:hAnsi="宋体" w:eastAsia="宋体" w:cs="宋体"/>
          <w:color w:val="auto"/>
          <w:highlight w:val="none"/>
          <w:lang w:eastAsia="zh-CN"/>
        </w:rPr>
      </w:pPr>
      <w:bookmarkStart w:id="25" w:name="_Toc35393804"/>
      <w:bookmarkStart w:id="26" w:name="_Toc35393635"/>
      <w:r>
        <w:rPr>
          <w:rFonts w:hint="eastAsia" w:ascii="宋体" w:hAnsi="宋体" w:eastAsia="宋体" w:cs="宋体"/>
          <w:bCs w:val="0"/>
          <w:color w:val="auto"/>
          <w:sz w:val="21"/>
          <w:szCs w:val="21"/>
          <w:highlight w:val="none"/>
        </w:rPr>
        <w:t>七、其他补充事宜</w:t>
      </w:r>
      <w:bookmarkEnd w:id="25"/>
      <w:bookmarkEnd w:id="26"/>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lang w:val="en-US" w:eastAsia="zh-CN"/>
        </w:rPr>
        <w:t>/</w:t>
      </w:r>
    </w:p>
    <w:p>
      <w:pPr>
        <w:pStyle w:val="5"/>
        <w:spacing w:line="360" w:lineRule="auto"/>
        <w:rPr>
          <w:rFonts w:ascii="宋体" w:hAnsi="宋体" w:eastAsia="宋体" w:cs="宋体"/>
          <w:bCs w:val="0"/>
          <w:color w:val="auto"/>
          <w:sz w:val="21"/>
          <w:szCs w:val="21"/>
          <w:highlight w:val="none"/>
        </w:rPr>
      </w:pPr>
      <w:bookmarkStart w:id="27" w:name="_Toc28359095"/>
      <w:bookmarkStart w:id="28" w:name="_Toc35393805"/>
      <w:bookmarkStart w:id="29" w:name="_Toc28359018"/>
      <w:bookmarkStart w:id="30" w:name="_Toc35393636"/>
      <w:r>
        <w:rPr>
          <w:rFonts w:hint="eastAsia" w:ascii="宋体" w:hAnsi="宋体" w:eastAsia="宋体" w:cs="宋体"/>
          <w:bCs w:val="0"/>
          <w:color w:val="auto"/>
          <w:sz w:val="21"/>
          <w:szCs w:val="21"/>
          <w:highlight w:val="none"/>
        </w:rPr>
        <w:t>八、凡对本次采购提出询问，请按以下方式联系。</w:t>
      </w:r>
      <w:bookmarkEnd w:id="27"/>
      <w:bookmarkEnd w:id="28"/>
      <w:bookmarkEnd w:id="29"/>
      <w:bookmarkEnd w:id="30"/>
    </w:p>
    <w:p>
      <w:pPr>
        <w:spacing w:line="360" w:lineRule="auto"/>
        <w:ind w:firstLine="630" w:firstLineChars="300"/>
        <w:rPr>
          <w:rFonts w:hint="eastAsia" w:ascii="宋体" w:hAnsi="宋体"/>
          <w:color w:val="auto"/>
          <w:highlight w:val="none"/>
          <w:u w:val="none"/>
        </w:rPr>
      </w:pPr>
      <w:bookmarkStart w:id="31" w:name="_Toc28359019"/>
      <w:bookmarkStart w:id="32" w:name="_Toc35393637"/>
      <w:bookmarkStart w:id="33" w:name="_Toc28359096"/>
      <w:bookmarkStart w:id="34" w:name="_Toc35393806"/>
      <w:r>
        <w:rPr>
          <w:rFonts w:hint="eastAsia" w:ascii="宋体" w:hAnsi="宋体"/>
          <w:color w:val="auto"/>
          <w:highlight w:val="none"/>
          <w:u w:val="none"/>
        </w:rPr>
        <w:t>1.采购人信息</w:t>
      </w:r>
      <w:bookmarkEnd w:id="31"/>
      <w:bookmarkEnd w:id="32"/>
      <w:bookmarkEnd w:id="33"/>
      <w:bookmarkEnd w:id="34"/>
    </w:p>
    <w:p>
      <w:pPr>
        <w:spacing w:line="360" w:lineRule="auto"/>
        <w:ind w:firstLine="630" w:firstLineChars="300"/>
        <w:rPr>
          <w:rFonts w:hint="eastAsia" w:ascii="宋体" w:hAnsi="宋体"/>
          <w:color w:val="auto"/>
          <w:highlight w:val="none"/>
          <w:u w:val="none"/>
          <w:lang w:val="en-US" w:eastAsia="zh-CN"/>
        </w:rPr>
      </w:pPr>
      <w:r>
        <w:rPr>
          <w:rFonts w:hint="eastAsia" w:ascii="宋体" w:hAnsi="宋体"/>
          <w:color w:val="auto"/>
          <w:highlight w:val="none"/>
          <w:u w:val="none"/>
        </w:rPr>
        <w:t>名    称：　</w:t>
      </w:r>
      <w:r>
        <w:rPr>
          <w:rFonts w:hint="eastAsia" w:ascii="宋体" w:hAnsi="宋体"/>
          <w:color w:val="auto"/>
          <w:highlight w:val="none"/>
          <w:u w:val="none"/>
          <w:lang w:eastAsia="zh-CN"/>
        </w:rPr>
        <w:t>界首市商业投资有限公司</w:t>
      </w:r>
      <w:r>
        <w:rPr>
          <w:rFonts w:hint="eastAsia" w:ascii="宋体" w:hAnsi="宋体"/>
          <w:color w:val="auto"/>
          <w:highlight w:val="none"/>
          <w:u w:val="none"/>
          <w:lang w:val="en-US" w:eastAsia="zh-CN"/>
        </w:rPr>
        <w:t xml:space="preserve">        </w:t>
      </w:r>
    </w:p>
    <w:p>
      <w:pPr>
        <w:spacing w:line="360" w:lineRule="auto"/>
        <w:ind w:firstLine="630" w:firstLineChars="300"/>
        <w:rPr>
          <w:rFonts w:hint="eastAsia" w:ascii="宋体" w:hAnsi="宋体"/>
          <w:color w:val="auto"/>
          <w:highlight w:val="none"/>
          <w:u w:val="none"/>
          <w:lang w:eastAsia="zh-CN"/>
        </w:rPr>
      </w:pPr>
      <w:r>
        <w:rPr>
          <w:rFonts w:hint="eastAsia" w:ascii="宋体" w:hAnsi="宋体"/>
          <w:color w:val="auto"/>
          <w:highlight w:val="none"/>
          <w:u w:val="none"/>
        </w:rPr>
        <w:t>地    址：　</w:t>
      </w:r>
      <w:r>
        <w:rPr>
          <w:rFonts w:hint="eastAsia" w:ascii="宋体" w:hAnsi="宋体"/>
          <w:color w:val="auto"/>
          <w:highlight w:val="none"/>
          <w:u w:val="none"/>
          <w:lang w:eastAsia="zh-CN"/>
        </w:rPr>
        <w:t>安徽省阜阳市界首市复兴路509号</w:t>
      </w:r>
    </w:p>
    <w:p>
      <w:pPr>
        <w:spacing w:line="360" w:lineRule="auto"/>
        <w:ind w:firstLine="630" w:firstLineChars="300"/>
        <w:rPr>
          <w:rFonts w:hint="eastAsia" w:ascii="宋体" w:hAnsi="宋体"/>
          <w:color w:val="auto"/>
          <w:highlight w:val="none"/>
          <w:u w:val="none"/>
          <w:lang w:val="en-US" w:eastAsia="zh-CN"/>
        </w:rPr>
      </w:pPr>
      <w:r>
        <w:rPr>
          <w:rFonts w:hint="eastAsia" w:ascii="宋体" w:hAnsi="宋体"/>
          <w:color w:val="auto"/>
          <w:highlight w:val="none"/>
          <w:u w:val="none"/>
        </w:rPr>
        <w:t>联系方式：　</w:t>
      </w:r>
      <w:r>
        <w:rPr>
          <w:rFonts w:hint="eastAsia" w:ascii="宋体" w:hAnsi="宋体"/>
          <w:color w:val="auto"/>
          <w:highlight w:val="none"/>
          <w:u w:val="none"/>
          <w:lang w:val="en-US" w:eastAsia="zh-CN"/>
        </w:rPr>
        <w:t xml:space="preserve">18949067588    </w:t>
      </w:r>
    </w:p>
    <w:p>
      <w:pPr>
        <w:spacing w:line="360" w:lineRule="auto"/>
        <w:ind w:firstLine="630" w:firstLineChars="300"/>
        <w:rPr>
          <w:rFonts w:hint="eastAsia" w:ascii="宋体" w:hAnsi="宋体"/>
          <w:color w:val="auto"/>
          <w:highlight w:val="none"/>
          <w:u w:val="none"/>
          <w:lang w:val="en-US"/>
        </w:rPr>
      </w:pPr>
      <w:r>
        <w:rPr>
          <w:rFonts w:hint="eastAsia" w:ascii="宋体" w:hAnsi="宋体"/>
          <w:color w:val="auto"/>
          <w:highlight w:val="none"/>
          <w:u w:val="none"/>
          <w:lang w:val="en-US" w:eastAsia="zh-CN"/>
        </w:rPr>
        <w:t xml:space="preserve">               </w:t>
      </w:r>
    </w:p>
    <w:p>
      <w:pPr>
        <w:spacing w:line="360" w:lineRule="auto"/>
        <w:ind w:firstLine="630" w:firstLineChars="300"/>
        <w:rPr>
          <w:rFonts w:hint="eastAsia" w:ascii="宋体" w:hAnsi="宋体"/>
          <w:color w:val="auto"/>
          <w:highlight w:val="none"/>
          <w:u w:val="none"/>
        </w:rPr>
      </w:pPr>
      <w:bookmarkStart w:id="35" w:name="_Toc28359020"/>
      <w:bookmarkStart w:id="36" w:name="_Toc35393807"/>
      <w:bookmarkStart w:id="37" w:name="_Toc28359097"/>
      <w:bookmarkStart w:id="38" w:name="_Toc35393638"/>
      <w:r>
        <w:rPr>
          <w:rFonts w:hint="eastAsia" w:ascii="宋体" w:hAnsi="宋体"/>
          <w:color w:val="auto"/>
          <w:highlight w:val="none"/>
          <w:u w:val="none"/>
        </w:rPr>
        <w:t>2.采购代理机构信息</w:t>
      </w:r>
      <w:bookmarkEnd w:id="35"/>
      <w:bookmarkEnd w:id="36"/>
      <w:bookmarkEnd w:id="37"/>
      <w:bookmarkEnd w:id="38"/>
    </w:p>
    <w:p>
      <w:pPr>
        <w:spacing w:line="360" w:lineRule="auto"/>
        <w:ind w:firstLine="630" w:firstLineChars="300"/>
        <w:rPr>
          <w:rFonts w:hint="eastAsia" w:ascii="宋体" w:hAnsi="宋体"/>
          <w:color w:val="auto"/>
          <w:highlight w:val="none"/>
          <w:u w:val="none"/>
        </w:rPr>
      </w:pPr>
      <w:r>
        <w:rPr>
          <w:rFonts w:hint="eastAsia" w:ascii="宋体" w:hAnsi="宋体"/>
          <w:color w:val="auto"/>
          <w:highlight w:val="none"/>
          <w:u w:val="none"/>
        </w:rPr>
        <w:t>名    称：　</w:t>
      </w:r>
      <w:r>
        <w:rPr>
          <w:rFonts w:hint="eastAsia" w:ascii="宋体" w:hAnsi="宋体"/>
          <w:color w:val="auto"/>
          <w:highlight w:val="none"/>
          <w:u w:val="none"/>
          <w:lang w:val="en-US" w:eastAsia="zh-CN"/>
        </w:rPr>
        <w:t>安徽首建工程建设项目管理有限公司</w:t>
      </w:r>
    </w:p>
    <w:p>
      <w:pPr>
        <w:spacing w:line="360" w:lineRule="auto"/>
        <w:ind w:firstLine="630" w:firstLineChars="300"/>
        <w:rPr>
          <w:rFonts w:hint="eastAsia" w:ascii="宋体" w:hAnsi="宋体"/>
          <w:color w:val="auto"/>
          <w:highlight w:val="none"/>
          <w:u w:val="none"/>
          <w:lang w:val="en-US"/>
        </w:rPr>
      </w:pPr>
      <w:r>
        <w:rPr>
          <w:rFonts w:hint="eastAsia" w:ascii="宋体" w:hAnsi="宋体"/>
          <w:color w:val="auto"/>
          <w:highlight w:val="none"/>
          <w:u w:val="none"/>
        </w:rPr>
        <w:t>地　　址：　</w:t>
      </w:r>
      <w:r>
        <w:rPr>
          <w:rFonts w:hint="eastAsia" w:ascii="宋体" w:hAnsi="宋体"/>
          <w:color w:val="auto"/>
          <w:highlight w:val="none"/>
          <w:u w:val="none"/>
          <w:lang w:val="en-US" w:eastAsia="zh-CN"/>
        </w:rPr>
        <w:t xml:space="preserve">界首市天安路 36 号 7 栋 203     </w:t>
      </w:r>
    </w:p>
    <w:p>
      <w:pPr>
        <w:spacing w:line="360" w:lineRule="auto"/>
        <w:ind w:firstLine="630" w:firstLineChars="300"/>
        <w:rPr>
          <w:rFonts w:hint="eastAsia" w:ascii="宋体" w:hAnsi="宋体"/>
          <w:color w:val="auto"/>
          <w:highlight w:val="none"/>
          <w:u w:val="none"/>
          <w:lang w:val="en-US"/>
        </w:rPr>
      </w:pPr>
      <w:r>
        <w:rPr>
          <w:rFonts w:hint="eastAsia" w:ascii="宋体" w:hAnsi="宋体"/>
          <w:color w:val="auto"/>
          <w:highlight w:val="none"/>
          <w:u w:val="none"/>
        </w:rPr>
        <w:t>联系方式：　</w:t>
      </w:r>
      <w:r>
        <w:rPr>
          <w:rFonts w:hint="eastAsia" w:ascii="宋体" w:hAnsi="宋体"/>
          <w:color w:val="auto"/>
          <w:highlight w:val="none"/>
          <w:u w:val="none"/>
          <w:lang w:val="en-US" w:eastAsia="zh-CN"/>
        </w:rPr>
        <w:t xml:space="preserve">15178118182                    </w:t>
      </w:r>
    </w:p>
    <w:p>
      <w:pPr>
        <w:spacing w:line="360" w:lineRule="auto"/>
        <w:ind w:firstLine="630" w:firstLineChars="300"/>
        <w:rPr>
          <w:rFonts w:hint="eastAsia" w:ascii="宋体" w:hAnsi="宋体"/>
          <w:color w:val="auto"/>
          <w:highlight w:val="none"/>
          <w:u w:val="none"/>
        </w:rPr>
      </w:pPr>
      <w:bookmarkStart w:id="39" w:name="_Toc28359098"/>
      <w:bookmarkStart w:id="40" w:name="_Toc35393639"/>
      <w:bookmarkStart w:id="41" w:name="_Toc35393808"/>
      <w:bookmarkStart w:id="42" w:name="_Toc28359021"/>
      <w:r>
        <w:rPr>
          <w:rFonts w:hint="eastAsia" w:ascii="宋体" w:hAnsi="宋体"/>
          <w:color w:val="auto"/>
          <w:highlight w:val="none"/>
          <w:u w:val="none"/>
        </w:rPr>
        <w:t>3.项目联系方式</w:t>
      </w:r>
      <w:bookmarkEnd w:id="39"/>
      <w:bookmarkEnd w:id="40"/>
      <w:bookmarkEnd w:id="41"/>
      <w:bookmarkEnd w:id="42"/>
    </w:p>
    <w:p>
      <w:pPr>
        <w:spacing w:line="360" w:lineRule="auto"/>
        <w:ind w:firstLine="630" w:firstLineChars="300"/>
        <w:rPr>
          <w:rFonts w:hint="eastAsia" w:ascii="宋体" w:hAnsi="宋体"/>
          <w:color w:val="auto"/>
          <w:highlight w:val="none"/>
          <w:u w:val="none"/>
          <w:lang w:val="en-US" w:eastAsia="zh-CN"/>
        </w:rPr>
      </w:pPr>
      <w:r>
        <w:rPr>
          <w:rFonts w:hint="eastAsia" w:ascii="宋体" w:hAnsi="宋体"/>
          <w:color w:val="auto"/>
          <w:highlight w:val="none"/>
          <w:u w:val="none"/>
        </w:rPr>
        <w:t>项目联系人：</w:t>
      </w:r>
      <w:r>
        <w:rPr>
          <w:rFonts w:hint="eastAsia" w:ascii="宋体" w:hAnsi="宋体"/>
          <w:color w:val="auto"/>
          <w:highlight w:val="none"/>
          <w:u w:val="none"/>
          <w:lang w:val="en-US" w:eastAsia="zh-CN"/>
        </w:rPr>
        <w:t xml:space="preserve">魏先生       </w:t>
      </w:r>
    </w:p>
    <w:p>
      <w:pPr>
        <w:spacing w:line="360" w:lineRule="auto"/>
        <w:ind w:firstLine="630" w:firstLineChars="300"/>
        <w:rPr>
          <w:rFonts w:ascii="宋体" w:hAnsi="宋体"/>
          <w:color w:val="auto"/>
          <w:highlight w:val="none"/>
          <w:u w:val="none"/>
        </w:rPr>
      </w:pPr>
      <w:r>
        <w:rPr>
          <w:rFonts w:hint="eastAsia" w:ascii="宋体" w:hAnsi="宋体"/>
          <w:color w:val="auto"/>
          <w:highlight w:val="none"/>
          <w:u w:val="none"/>
        </w:rPr>
        <w:t>电　　 话：</w:t>
      </w:r>
      <w:r>
        <w:rPr>
          <w:rFonts w:hint="eastAsia" w:ascii="宋体" w:hAnsi="宋体"/>
          <w:color w:val="auto"/>
          <w:highlight w:val="none"/>
          <w:u w:val="none"/>
          <w:lang w:val="en-US" w:eastAsia="zh-CN"/>
        </w:rPr>
        <w:t>18949067588</w:t>
      </w:r>
      <w:r>
        <w:rPr>
          <w:rFonts w:hint="eastAsia" w:ascii="宋体" w:hAnsi="宋体"/>
          <w:color w:val="auto"/>
          <w:highlight w:val="none"/>
          <w:u w:val="none"/>
        </w:rPr>
        <w:t xml:space="preserve"> </w:t>
      </w:r>
    </w:p>
    <w:p>
      <w:pPr>
        <w:pStyle w:val="11"/>
        <w:rPr>
          <w:rFonts w:ascii="宋体" w:hAnsi="宋体"/>
          <w:color w:val="auto"/>
          <w:highlight w:val="none"/>
          <w:u w:val="single"/>
        </w:rPr>
      </w:pPr>
    </w:p>
    <w:p>
      <w:pPr>
        <w:pStyle w:val="11"/>
        <w:jc w:val="right"/>
        <w:rPr>
          <w:rFonts w:ascii="宋体" w:hAnsi="宋体" w:eastAsia="宋体"/>
          <w:color w:val="auto"/>
          <w:highlight w:val="none"/>
        </w:rPr>
      </w:pPr>
      <w:r>
        <w:rPr>
          <w:rFonts w:hint="eastAsia" w:ascii="宋体" w:hAnsi="宋体" w:eastAsia="宋体"/>
          <w:color w:val="auto"/>
          <w:highlight w:val="none"/>
        </w:rPr>
        <w:t xml:space="preserve">                        </w:t>
      </w:r>
    </w:p>
    <w:p>
      <w:pPr>
        <w:pStyle w:val="11"/>
        <w:jc w:val="center"/>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4"/>
        <w:tabs>
          <w:tab w:val="left" w:pos="4576"/>
        </w:tabs>
        <w:adjustRightInd w:val="0"/>
        <w:snapToGrid w:val="0"/>
        <w:spacing w:line="360" w:lineRule="auto"/>
        <w:ind w:left="2665" w:leftChars="1269"/>
        <w:rPr>
          <w:rFonts w:ascii="宋体" w:hAnsi="宋体"/>
          <w:color w:val="auto"/>
          <w:sz w:val="32"/>
          <w:szCs w:val="32"/>
          <w:highlight w:val="none"/>
        </w:rPr>
      </w:pPr>
      <w:bookmarkStart w:id="43" w:name="_Toc26327"/>
      <w:r>
        <w:rPr>
          <w:rFonts w:ascii="宋体" w:hAnsi="宋体"/>
          <w:color w:val="auto"/>
          <w:sz w:val="32"/>
          <w:szCs w:val="32"/>
          <w:highlight w:val="none"/>
        </w:rPr>
        <w:t>第二章</w:t>
      </w:r>
      <w:r>
        <w:rPr>
          <w:rFonts w:ascii="宋体" w:hAnsi="宋体"/>
          <w:color w:val="auto"/>
          <w:sz w:val="32"/>
          <w:szCs w:val="32"/>
          <w:highlight w:val="none"/>
        </w:rPr>
        <w:tab/>
      </w:r>
      <w:r>
        <w:rPr>
          <w:rFonts w:ascii="宋体" w:hAnsi="宋体"/>
          <w:color w:val="auto"/>
          <w:sz w:val="32"/>
          <w:szCs w:val="32"/>
          <w:highlight w:val="none"/>
        </w:rPr>
        <w:t>供应商须知</w:t>
      </w:r>
      <w:bookmarkEnd w:id="43"/>
    </w:p>
    <w:p>
      <w:pPr>
        <w:spacing w:line="360" w:lineRule="auto"/>
        <w:jc w:val="center"/>
        <w:outlineLvl w:val="1"/>
        <w:rPr>
          <w:rFonts w:ascii="宋体" w:hAnsi="宋体" w:cs="宋体"/>
          <w:b/>
          <w:color w:val="auto"/>
          <w:highlight w:val="none"/>
        </w:rPr>
      </w:pPr>
      <w:r>
        <w:rPr>
          <w:rFonts w:ascii="宋体" w:hAnsi="宋体" w:cs="宋体"/>
          <w:b/>
          <w:color w:val="auto"/>
          <w:highlight w:val="none"/>
        </w:rPr>
        <w:t>一、供应商须知前附表</w:t>
      </w:r>
    </w:p>
    <w:p>
      <w:pPr>
        <w:pStyle w:val="3"/>
        <w:spacing w:before="160" w:after="6" w:line="360" w:lineRule="auto"/>
        <w:ind w:left="574" w:right="496" w:firstLine="434"/>
        <w:rPr>
          <w:b/>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本表是本项目的具体要求，是对供应商须知的具体补充和修改，如有不一致，以本表为准。</w:t>
      </w:r>
    </w:p>
    <w:tbl>
      <w:tblPr>
        <w:tblStyle w:val="19"/>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gridCol w:w="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noWrap w:val="0"/>
            <w:vAlign w:val="center"/>
          </w:tcPr>
          <w:p>
            <w:pPr>
              <w:pStyle w:val="25"/>
              <w:spacing w:before="16" w:line="360" w:lineRule="auto"/>
              <w:ind w:left="118" w:right="111"/>
              <w:jc w:val="center"/>
              <w:rPr>
                <w:b/>
                <w:color w:val="auto"/>
                <w:sz w:val="21"/>
                <w:szCs w:val="21"/>
                <w:highlight w:val="none"/>
                <w:lang w:eastAsia="en-US"/>
              </w:rPr>
            </w:pPr>
            <w:r>
              <w:rPr>
                <w:rFonts w:hint="eastAsia"/>
                <w:b/>
                <w:color w:val="auto"/>
                <w:sz w:val="21"/>
                <w:szCs w:val="21"/>
                <w:highlight w:val="none"/>
                <w:lang w:eastAsia="en-US"/>
              </w:rPr>
              <w:t>条款号</w:t>
            </w:r>
          </w:p>
        </w:tc>
        <w:tc>
          <w:tcPr>
            <w:tcW w:w="2026" w:type="dxa"/>
            <w:noWrap w:val="0"/>
            <w:vAlign w:val="center"/>
          </w:tcPr>
          <w:p>
            <w:pPr>
              <w:pStyle w:val="25"/>
              <w:spacing w:before="16" w:line="360" w:lineRule="auto"/>
              <w:ind w:left="530"/>
              <w:jc w:val="center"/>
              <w:rPr>
                <w:b/>
                <w:color w:val="auto"/>
                <w:sz w:val="21"/>
                <w:szCs w:val="21"/>
                <w:highlight w:val="none"/>
                <w:lang w:eastAsia="en-US"/>
              </w:rPr>
            </w:pPr>
            <w:r>
              <w:rPr>
                <w:rFonts w:hint="eastAsia"/>
                <w:b/>
                <w:color w:val="auto"/>
                <w:sz w:val="21"/>
                <w:szCs w:val="21"/>
                <w:highlight w:val="none"/>
                <w:lang w:eastAsia="en-US"/>
              </w:rPr>
              <w:t>条款名称</w:t>
            </w:r>
          </w:p>
        </w:tc>
        <w:tc>
          <w:tcPr>
            <w:tcW w:w="5562" w:type="dxa"/>
            <w:gridSpan w:val="2"/>
            <w:noWrap w:val="0"/>
            <w:vAlign w:val="center"/>
          </w:tcPr>
          <w:p>
            <w:pPr>
              <w:pStyle w:val="25"/>
              <w:spacing w:before="16" w:line="360" w:lineRule="auto"/>
              <w:ind w:left="1769"/>
              <w:rPr>
                <w:b/>
                <w:color w:val="auto"/>
                <w:sz w:val="21"/>
                <w:szCs w:val="21"/>
                <w:highlight w:val="none"/>
                <w:lang w:eastAsia="en-US"/>
              </w:rPr>
            </w:pPr>
            <w:r>
              <w:rPr>
                <w:rFonts w:hint="eastAsia"/>
                <w:b/>
                <w:color w:val="auto"/>
                <w:sz w:val="21"/>
                <w:szCs w:val="21"/>
                <w:highlight w:val="none"/>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noWrap w:val="0"/>
            <w:vAlign w:val="center"/>
          </w:tcPr>
          <w:p>
            <w:pPr>
              <w:pStyle w:val="25"/>
              <w:spacing w:before="19" w:line="360" w:lineRule="auto"/>
              <w:ind w:left="118" w:right="109"/>
              <w:jc w:val="center"/>
              <w:rPr>
                <w:color w:val="auto"/>
                <w:sz w:val="21"/>
                <w:szCs w:val="21"/>
                <w:highlight w:val="none"/>
              </w:rPr>
            </w:pPr>
            <w:r>
              <w:rPr>
                <w:rFonts w:hint="eastAsia"/>
                <w:color w:val="auto"/>
                <w:sz w:val="21"/>
                <w:szCs w:val="21"/>
                <w:highlight w:val="none"/>
                <w:lang w:val="en-US"/>
              </w:rPr>
              <w:t>1</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采购人</w:t>
            </w:r>
          </w:p>
        </w:tc>
        <w:tc>
          <w:tcPr>
            <w:tcW w:w="5562" w:type="dxa"/>
            <w:gridSpan w:val="2"/>
            <w:noWrap w:val="0"/>
            <w:vAlign w:val="center"/>
          </w:tcPr>
          <w:p>
            <w:pPr>
              <w:pStyle w:val="25"/>
              <w:spacing w:before="19"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界首市商业投资有限公司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noWrap w:val="0"/>
            <w:vAlign w:val="center"/>
          </w:tcPr>
          <w:p>
            <w:pPr>
              <w:pStyle w:val="25"/>
              <w:spacing w:before="19" w:line="360" w:lineRule="auto"/>
              <w:ind w:left="118" w:right="109"/>
              <w:jc w:val="center"/>
              <w:rPr>
                <w:color w:val="auto"/>
                <w:sz w:val="21"/>
                <w:szCs w:val="21"/>
                <w:highlight w:val="none"/>
                <w:lang w:eastAsia="en-US"/>
              </w:rPr>
            </w:pPr>
            <w:r>
              <w:rPr>
                <w:rFonts w:hint="eastAsia"/>
                <w:color w:val="auto"/>
                <w:sz w:val="21"/>
                <w:szCs w:val="21"/>
                <w:highlight w:val="none"/>
                <w:lang w:eastAsia="en-US"/>
              </w:rPr>
              <w:t>2</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采购代理机构</w:t>
            </w:r>
          </w:p>
        </w:tc>
        <w:tc>
          <w:tcPr>
            <w:tcW w:w="5562" w:type="dxa"/>
            <w:gridSpan w:val="2"/>
            <w:noWrap w:val="0"/>
            <w:vAlign w:val="center"/>
          </w:tcPr>
          <w:p>
            <w:pPr>
              <w:pStyle w:val="25"/>
              <w:spacing w:before="19" w:line="360" w:lineRule="auto"/>
              <w:rPr>
                <w:rFonts w:hint="eastAsia" w:eastAsia="宋体"/>
                <w:color w:val="auto"/>
                <w:sz w:val="21"/>
                <w:szCs w:val="21"/>
                <w:highlight w:val="none"/>
                <w:lang w:eastAsia="zh-CN"/>
              </w:rPr>
            </w:pPr>
            <w:r>
              <w:rPr>
                <w:rFonts w:hint="eastAsia"/>
                <w:color w:val="auto"/>
                <w:sz w:val="21"/>
                <w:szCs w:val="21"/>
                <w:highlight w:val="none"/>
                <w:lang w:eastAsia="zh-CN"/>
              </w:rPr>
              <w:t>安徽首建工程建设项目管理有限公司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jc w:val="center"/>
        </w:trPr>
        <w:tc>
          <w:tcPr>
            <w:tcW w:w="1003" w:type="dxa"/>
            <w:noWrap w:val="0"/>
            <w:vAlign w:val="center"/>
          </w:tcPr>
          <w:p>
            <w:pPr>
              <w:pStyle w:val="25"/>
              <w:spacing w:before="1" w:line="360" w:lineRule="auto"/>
              <w:ind w:right="109" w:firstLine="420" w:firstLineChars="200"/>
              <w:jc w:val="both"/>
              <w:rPr>
                <w:color w:val="auto"/>
                <w:sz w:val="21"/>
                <w:szCs w:val="21"/>
                <w:highlight w:val="none"/>
                <w:lang w:eastAsia="en-US"/>
              </w:rPr>
            </w:pPr>
            <w:r>
              <w:rPr>
                <w:rFonts w:hint="eastAsia"/>
                <w:color w:val="auto"/>
                <w:sz w:val="21"/>
                <w:szCs w:val="21"/>
                <w:highlight w:val="none"/>
                <w:lang w:eastAsia="en-US"/>
              </w:rPr>
              <w:t>3</w:t>
            </w:r>
          </w:p>
        </w:tc>
        <w:tc>
          <w:tcPr>
            <w:tcW w:w="2026" w:type="dxa"/>
            <w:noWrap w:val="0"/>
            <w:vAlign w:val="center"/>
          </w:tcPr>
          <w:p>
            <w:pPr>
              <w:pStyle w:val="25"/>
              <w:spacing w:before="158" w:line="360" w:lineRule="auto"/>
              <w:jc w:val="center"/>
              <w:rPr>
                <w:color w:val="auto"/>
                <w:sz w:val="21"/>
                <w:szCs w:val="21"/>
                <w:highlight w:val="none"/>
              </w:rPr>
            </w:pPr>
            <w:r>
              <w:rPr>
                <w:rFonts w:hint="eastAsia"/>
                <w:color w:val="auto"/>
                <w:sz w:val="21"/>
                <w:szCs w:val="21"/>
                <w:highlight w:val="none"/>
              </w:rPr>
              <w:t>项目名称</w:t>
            </w:r>
          </w:p>
        </w:tc>
        <w:tc>
          <w:tcPr>
            <w:tcW w:w="5562" w:type="dxa"/>
            <w:gridSpan w:val="2"/>
            <w:noWrap w:val="0"/>
            <w:vAlign w:val="center"/>
          </w:tcPr>
          <w:p>
            <w:pPr>
              <w:pStyle w:val="25"/>
              <w:spacing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界首市和兴路农贸市场11-16层空调采购项目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jc w:val="center"/>
        </w:trPr>
        <w:tc>
          <w:tcPr>
            <w:tcW w:w="1003" w:type="dxa"/>
            <w:noWrap w:val="0"/>
            <w:vAlign w:val="center"/>
          </w:tcPr>
          <w:p>
            <w:pPr>
              <w:pStyle w:val="25"/>
              <w:spacing w:before="1" w:line="360" w:lineRule="auto"/>
              <w:ind w:right="109"/>
              <w:jc w:val="center"/>
              <w:rPr>
                <w:color w:val="auto"/>
                <w:sz w:val="21"/>
                <w:szCs w:val="21"/>
                <w:highlight w:val="none"/>
                <w:lang w:eastAsia="en-US"/>
              </w:rPr>
            </w:pPr>
            <w:r>
              <w:rPr>
                <w:rFonts w:hint="eastAsia"/>
                <w:color w:val="auto"/>
                <w:sz w:val="21"/>
                <w:szCs w:val="21"/>
                <w:highlight w:val="none"/>
                <w:lang w:eastAsia="en-US"/>
              </w:rPr>
              <w:t>4</w:t>
            </w:r>
          </w:p>
        </w:tc>
        <w:tc>
          <w:tcPr>
            <w:tcW w:w="2026" w:type="dxa"/>
            <w:noWrap w:val="0"/>
            <w:vAlign w:val="center"/>
          </w:tcPr>
          <w:p>
            <w:pPr>
              <w:pStyle w:val="25"/>
              <w:spacing w:before="160" w:line="360" w:lineRule="auto"/>
              <w:jc w:val="center"/>
              <w:rPr>
                <w:color w:val="auto"/>
                <w:sz w:val="21"/>
                <w:szCs w:val="21"/>
                <w:highlight w:val="none"/>
                <w:lang w:val="en-US"/>
              </w:rPr>
            </w:pPr>
            <w:r>
              <w:rPr>
                <w:rFonts w:hint="eastAsia"/>
                <w:color w:val="auto"/>
                <w:sz w:val="21"/>
                <w:szCs w:val="21"/>
                <w:highlight w:val="none"/>
                <w:lang w:val="en-US"/>
              </w:rPr>
              <w:t>供货地点</w:t>
            </w:r>
          </w:p>
        </w:tc>
        <w:tc>
          <w:tcPr>
            <w:tcW w:w="5562" w:type="dxa"/>
            <w:gridSpan w:val="2"/>
            <w:noWrap w:val="0"/>
            <w:vAlign w:val="center"/>
          </w:tcPr>
          <w:p>
            <w:pPr>
              <w:pStyle w:val="25"/>
              <w:spacing w:before="1"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界首市商业投资有限公司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 w:hRule="atLeast"/>
          <w:jc w:val="center"/>
        </w:trPr>
        <w:tc>
          <w:tcPr>
            <w:tcW w:w="1003" w:type="dxa"/>
            <w:noWrap w:val="0"/>
            <w:vAlign w:val="center"/>
          </w:tcPr>
          <w:p>
            <w:pPr>
              <w:pStyle w:val="25"/>
              <w:spacing w:line="360" w:lineRule="auto"/>
              <w:ind w:right="109"/>
              <w:jc w:val="center"/>
              <w:rPr>
                <w:color w:val="auto"/>
                <w:sz w:val="21"/>
                <w:szCs w:val="21"/>
                <w:highlight w:val="none"/>
                <w:lang w:eastAsia="en-US"/>
              </w:rPr>
            </w:pPr>
            <w:r>
              <w:rPr>
                <w:rFonts w:hint="eastAsia"/>
                <w:color w:val="auto"/>
                <w:sz w:val="21"/>
                <w:szCs w:val="21"/>
                <w:highlight w:val="none"/>
                <w:lang w:eastAsia="en-US"/>
              </w:rPr>
              <w:t>5</w:t>
            </w:r>
          </w:p>
        </w:tc>
        <w:tc>
          <w:tcPr>
            <w:tcW w:w="2026" w:type="dxa"/>
            <w:noWrap w:val="0"/>
            <w:vAlign w:val="center"/>
          </w:tcPr>
          <w:p>
            <w:pPr>
              <w:pStyle w:val="25"/>
              <w:spacing w:before="160" w:line="360" w:lineRule="auto"/>
              <w:ind w:left="107" w:firstLine="420" w:firstLineChars="200"/>
              <w:jc w:val="both"/>
              <w:rPr>
                <w:color w:val="auto"/>
                <w:sz w:val="21"/>
                <w:szCs w:val="21"/>
                <w:highlight w:val="none"/>
              </w:rPr>
            </w:pPr>
            <w:r>
              <w:rPr>
                <w:rFonts w:hint="eastAsia"/>
                <w:color w:val="auto"/>
                <w:sz w:val="21"/>
                <w:szCs w:val="21"/>
                <w:highlight w:val="none"/>
              </w:rPr>
              <w:t>供货期限</w:t>
            </w:r>
          </w:p>
        </w:tc>
        <w:tc>
          <w:tcPr>
            <w:tcW w:w="5562" w:type="dxa"/>
            <w:gridSpan w:val="2"/>
            <w:noWrap w:val="0"/>
            <w:vAlign w:val="center"/>
          </w:tcPr>
          <w:p>
            <w:pPr>
              <w:pStyle w:val="25"/>
              <w:tabs>
                <w:tab w:val="left" w:pos="828"/>
              </w:tabs>
              <w:spacing w:line="360" w:lineRule="auto"/>
              <w:ind w:left="108"/>
              <w:rPr>
                <w:rFonts w:hint="eastAsia" w:eastAsia="宋体"/>
                <w:color w:val="auto"/>
                <w:sz w:val="21"/>
                <w:szCs w:val="21"/>
                <w:highlight w:val="none"/>
                <w:lang w:val="en-US" w:eastAsia="zh-CN"/>
              </w:rPr>
            </w:pPr>
            <w:r>
              <w:rPr>
                <w:rFonts w:hint="eastAsia"/>
                <w:color w:val="auto"/>
                <w:sz w:val="21"/>
                <w:szCs w:val="21"/>
                <w:highlight w:val="none"/>
                <w:lang w:val="en-US" w:eastAsia="zh-CN"/>
              </w:rPr>
              <w:t>15日历天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6</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采购范围</w:t>
            </w:r>
          </w:p>
        </w:tc>
        <w:tc>
          <w:tcPr>
            <w:tcW w:w="5562" w:type="dxa"/>
            <w:gridSpan w:val="2"/>
            <w:noWrap w:val="0"/>
            <w:vAlign w:val="center"/>
          </w:tcPr>
          <w:p>
            <w:pPr>
              <w:jc w:val="left"/>
              <w:rPr>
                <w:rFonts w:ascii="宋体" w:hAnsi="宋体" w:cs="宋体"/>
                <w:color w:val="auto"/>
                <w:highlight w:val="none"/>
              </w:rPr>
            </w:pPr>
            <w:r>
              <w:rPr>
                <w:rFonts w:hint="eastAsia" w:ascii="宋体" w:hAnsi="宋体" w:cs="宋体"/>
                <w:color w:val="auto"/>
                <w:highlight w:val="none"/>
              </w:rPr>
              <w:t>竞争性磋商文件范围内所有采购内容及服务。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7</w:t>
            </w:r>
          </w:p>
        </w:tc>
        <w:tc>
          <w:tcPr>
            <w:tcW w:w="2026" w:type="dxa"/>
            <w:noWrap w:val="0"/>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质保期</w:t>
            </w:r>
          </w:p>
        </w:tc>
        <w:tc>
          <w:tcPr>
            <w:tcW w:w="5562" w:type="dxa"/>
            <w:gridSpan w:val="2"/>
            <w:noWrap w:val="0"/>
            <w:vAlign w:val="center"/>
          </w:tcPr>
          <w:p>
            <w:pPr>
              <w:spacing w:line="400" w:lineRule="exact"/>
              <w:ind w:firstLine="105" w:firstLineChars="50"/>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免费质保</w:t>
            </w:r>
            <w:r>
              <w:rPr>
                <w:rFonts w:hint="eastAsia" w:ascii="宋体" w:hAnsi="宋体" w:cs="宋体"/>
                <w:color w:val="auto"/>
                <w:highlight w:val="none"/>
                <w:lang w:val="en-US" w:eastAsia="zh-CN"/>
              </w:rPr>
              <w:t>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8</w:t>
            </w:r>
          </w:p>
        </w:tc>
        <w:tc>
          <w:tcPr>
            <w:tcW w:w="2026" w:type="dxa"/>
            <w:noWrap w:val="0"/>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质量标准</w:t>
            </w:r>
          </w:p>
        </w:tc>
        <w:tc>
          <w:tcPr>
            <w:tcW w:w="5562" w:type="dxa"/>
            <w:gridSpan w:val="2"/>
            <w:noWrap w:val="0"/>
            <w:vAlign w:val="center"/>
          </w:tcPr>
          <w:p>
            <w:pPr>
              <w:spacing w:line="400" w:lineRule="exact"/>
              <w:rPr>
                <w:rFonts w:ascii="宋体" w:hAnsi="宋体" w:cs="宋体"/>
                <w:color w:val="auto"/>
                <w:highlight w:val="none"/>
              </w:rPr>
            </w:pPr>
            <w:r>
              <w:rPr>
                <w:rFonts w:hint="eastAsia" w:ascii="宋体" w:hAnsi="宋体" w:cs="宋体"/>
                <w:color w:val="auto"/>
                <w:highlight w:val="none"/>
              </w:rPr>
              <w:t>符合磋商文件要求且质量合格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9</w:t>
            </w:r>
          </w:p>
        </w:tc>
        <w:tc>
          <w:tcPr>
            <w:tcW w:w="2026" w:type="dxa"/>
            <w:noWrap w:val="0"/>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不允许偏离的实质性要求和条件</w:t>
            </w:r>
          </w:p>
        </w:tc>
        <w:tc>
          <w:tcPr>
            <w:tcW w:w="5562" w:type="dxa"/>
            <w:gridSpan w:val="2"/>
            <w:noWrap w:val="0"/>
            <w:vAlign w:val="center"/>
          </w:tcPr>
          <w:p>
            <w:pPr>
              <w:spacing w:line="400" w:lineRule="exact"/>
              <w:rPr>
                <w:rFonts w:ascii="宋体" w:hAnsi="宋体" w:cs="宋体"/>
                <w:color w:val="auto"/>
                <w:highlight w:val="none"/>
              </w:rPr>
            </w:pPr>
            <w:r>
              <w:rPr>
                <w:rFonts w:hint="eastAsia" w:ascii="宋体" w:hAnsi="宋体" w:cs="宋体"/>
                <w:color w:val="auto"/>
                <w:highlight w:val="none"/>
              </w:rPr>
              <w:t>详见竞争性磋商文件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jc w:val="center"/>
        </w:trPr>
        <w:tc>
          <w:tcPr>
            <w:tcW w:w="1003" w:type="dxa"/>
            <w:noWrap w:val="0"/>
            <w:vAlign w:val="center"/>
          </w:tcPr>
          <w:p>
            <w:pPr>
              <w:spacing w:line="500" w:lineRule="atLeast"/>
              <w:ind w:firstLine="420" w:firstLineChars="200"/>
              <w:rPr>
                <w:rFonts w:ascii="宋体" w:hAnsi="宋体" w:cs="宋体"/>
                <w:color w:val="auto"/>
                <w:highlight w:val="none"/>
              </w:rPr>
            </w:pPr>
            <w:r>
              <w:rPr>
                <w:rFonts w:hint="eastAsia" w:ascii="宋体" w:hAnsi="宋体" w:cs="宋体"/>
                <w:color w:val="auto"/>
                <w:highlight w:val="none"/>
              </w:rPr>
              <w:t>10</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最高响应限价</w:t>
            </w:r>
          </w:p>
        </w:tc>
        <w:tc>
          <w:tcPr>
            <w:tcW w:w="5562" w:type="dxa"/>
            <w:gridSpan w:val="2"/>
            <w:noWrap w:val="0"/>
            <w:vAlign w:val="center"/>
          </w:tcPr>
          <w:p>
            <w:pPr>
              <w:spacing w:line="400" w:lineRule="exact"/>
              <w:textAlignment w:val="baseline"/>
              <w:rPr>
                <w:rFonts w:ascii="宋体" w:hAnsi="宋体" w:cs="宋体"/>
                <w:color w:val="auto"/>
                <w:highlight w:val="none"/>
              </w:rPr>
            </w:pPr>
            <w:r>
              <w:rPr>
                <w:rStyle w:val="30"/>
                <w:rFonts w:hint="eastAsia" w:ascii="宋体" w:hAnsi="宋体" w:cs="宋体"/>
                <w:b/>
                <w:bCs/>
                <w:color w:val="auto"/>
                <w:highlight w:val="none"/>
                <w:lang w:val="en-US" w:eastAsia="zh-CN"/>
              </w:rPr>
              <w:t xml:space="preserve"> </w:t>
            </w:r>
            <w:r>
              <w:rPr>
                <w:rStyle w:val="30"/>
                <w:rFonts w:hint="eastAsia" w:ascii="宋体" w:hAnsi="宋体" w:eastAsia="宋体" w:cs="宋体"/>
                <w:b/>
                <w:bCs/>
                <w:color w:val="auto"/>
                <w:highlight w:val="none"/>
                <w:lang w:val="en-US" w:eastAsia="zh-CN"/>
              </w:rPr>
              <w:t>454800.00</w:t>
            </w:r>
            <w:r>
              <w:rPr>
                <w:rStyle w:val="30"/>
                <w:rFonts w:hint="eastAsia" w:ascii="宋体" w:hAnsi="宋体" w:eastAsia="宋体" w:cs="宋体"/>
                <w:b/>
                <w:bCs/>
                <w:color w:val="auto"/>
                <w:highlight w:val="none"/>
              </w:rPr>
              <w:t>元</w:t>
            </w:r>
            <w:r>
              <w:rPr>
                <w:rStyle w:val="30"/>
                <w:rFonts w:hint="eastAsia" w:ascii="宋体" w:hAnsi="宋体" w:cs="宋体"/>
                <w:b/>
                <w:bCs/>
                <w:color w:val="auto"/>
                <w:highlight w:val="none"/>
              </w:rPr>
              <w:t>。供应商响应报价高于或等于最高响应限价的作无效标处理。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8" w:hRule="atLeast"/>
          <w:jc w:val="center"/>
        </w:trPr>
        <w:tc>
          <w:tcPr>
            <w:tcW w:w="1003" w:type="dxa"/>
            <w:noWrap w:val="0"/>
            <w:vAlign w:val="center"/>
          </w:tcPr>
          <w:p>
            <w:pPr>
              <w:pStyle w:val="25"/>
              <w:spacing w:line="360" w:lineRule="auto"/>
              <w:ind w:right="109"/>
              <w:jc w:val="center"/>
              <w:rPr>
                <w:color w:val="auto"/>
                <w:sz w:val="21"/>
                <w:szCs w:val="21"/>
                <w:highlight w:val="none"/>
                <w:lang w:val="en-US"/>
              </w:rPr>
            </w:pPr>
            <w:r>
              <w:rPr>
                <w:rFonts w:hint="eastAsia"/>
                <w:color w:val="auto"/>
                <w:sz w:val="21"/>
                <w:szCs w:val="21"/>
                <w:highlight w:val="none"/>
                <w:lang w:val="en-US"/>
              </w:rPr>
              <w:t>11</w:t>
            </w:r>
          </w:p>
        </w:tc>
        <w:tc>
          <w:tcPr>
            <w:tcW w:w="2026" w:type="dxa"/>
            <w:noWrap w:val="0"/>
            <w:vAlign w:val="center"/>
          </w:tcPr>
          <w:p>
            <w:pPr>
              <w:pStyle w:val="25"/>
              <w:spacing w:before="2" w:line="360" w:lineRule="auto"/>
              <w:ind w:left="107"/>
              <w:jc w:val="center"/>
              <w:rPr>
                <w:color w:val="auto"/>
                <w:sz w:val="21"/>
                <w:szCs w:val="21"/>
                <w:highlight w:val="none"/>
              </w:rPr>
            </w:pPr>
            <w:r>
              <w:rPr>
                <w:rFonts w:hint="eastAsia"/>
                <w:color w:val="auto"/>
                <w:sz w:val="21"/>
                <w:szCs w:val="21"/>
                <w:highlight w:val="none"/>
              </w:rPr>
              <w:t>是否允许联合体</w:t>
            </w:r>
          </w:p>
          <w:p>
            <w:pPr>
              <w:pStyle w:val="25"/>
              <w:spacing w:before="158" w:line="360" w:lineRule="auto"/>
              <w:ind w:left="107"/>
              <w:jc w:val="center"/>
              <w:rPr>
                <w:color w:val="auto"/>
                <w:sz w:val="21"/>
                <w:szCs w:val="21"/>
                <w:highlight w:val="none"/>
              </w:rPr>
            </w:pPr>
            <w:r>
              <w:rPr>
                <w:rFonts w:hint="eastAsia"/>
                <w:color w:val="auto"/>
                <w:sz w:val="21"/>
                <w:szCs w:val="21"/>
                <w:highlight w:val="none"/>
              </w:rPr>
              <w:t>参加磋商</w:t>
            </w:r>
          </w:p>
        </w:tc>
        <w:tc>
          <w:tcPr>
            <w:tcW w:w="5562" w:type="dxa"/>
            <w:gridSpan w:val="2"/>
            <w:noWrap w:val="0"/>
            <w:vAlign w:val="center"/>
          </w:tcPr>
          <w:p>
            <w:pPr>
              <w:pStyle w:val="25"/>
              <w:tabs>
                <w:tab w:val="left" w:pos="828"/>
              </w:tabs>
              <w:spacing w:line="360" w:lineRule="auto"/>
              <w:ind w:firstLine="420" w:firstLineChars="200"/>
              <w:rPr>
                <w:color w:val="auto"/>
                <w:sz w:val="21"/>
                <w:szCs w:val="21"/>
                <w:highlight w:val="none"/>
                <w:lang w:eastAsia="en-US"/>
              </w:rPr>
            </w:pPr>
            <w:r>
              <w:rPr>
                <w:rFonts w:hint="eastAsia"/>
                <w:color w:val="auto"/>
                <w:sz w:val="21"/>
                <w:szCs w:val="21"/>
                <w:highlight w:val="none"/>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003" w:type="dxa"/>
            <w:noWrap w:val="0"/>
            <w:vAlign w:val="center"/>
          </w:tcPr>
          <w:p>
            <w:pPr>
              <w:pStyle w:val="25"/>
              <w:spacing w:line="360" w:lineRule="auto"/>
              <w:ind w:right="109"/>
              <w:jc w:val="center"/>
              <w:rPr>
                <w:color w:val="auto"/>
                <w:sz w:val="21"/>
                <w:szCs w:val="21"/>
                <w:highlight w:val="none"/>
                <w:lang w:val="en-US"/>
              </w:rPr>
            </w:pPr>
            <w:r>
              <w:rPr>
                <w:rFonts w:hint="eastAsia"/>
                <w:color w:val="auto"/>
                <w:sz w:val="21"/>
                <w:szCs w:val="21"/>
                <w:highlight w:val="none"/>
                <w:lang w:val="en-US"/>
              </w:rPr>
              <w:t>12</w:t>
            </w:r>
          </w:p>
        </w:tc>
        <w:tc>
          <w:tcPr>
            <w:tcW w:w="2026" w:type="dxa"/>
            <w:noWrap w:val="0"/>
            <w:vAlign w:val="center"/>
          </w:tcPr>
          <w:p>
            <w:pPr>
              <w:pStyle w:val="25"/>
              <w:spacing w:line="360" w:lineRule="auto"/>
              <w:jc w:val="center"/>
              <w:rPr>
                <w:color w:val="auto"/>
                <w:sz w:val="21"/>
                <w:szCs w:val="21"/>
                <w:highlight w:val="none"/>
                <w:lang w:eastAsia="en-US"/>
              </w:rPr>
            </w:pPr>
            <w:r>
              <w:rPr>
                <w:rFonts w:hint="eastAsia"/>
                <w:color w:val="auto"/>
                <w:sz w:val="21"/>
                <w:szCs w:val="21"/>
                <w:highlight w:val="none"/>
                <w:lang w:eastAsia="en-US"/>
              </w:rPr>
              <w:t>现场考察</w:t>
            </w:r>
          </w:p>
        </w:tc>
        <w:tc>
          <w:tcPr>
            <w:tcW w:w="5562" w:type="dxa"/>
            <w:gridSpan w:val="2"/>
            <w:noWrap w:val="0"/>
            <w:vAlign w:val="center"/>
          </w:tcPr>
          <w:p>
            <w:pPr>
              <w:pStyle w:val="25"/>
              <w:spacing w:line="360" w:lineRule="auto"/>
              <w:ind w:left="108"/>
              <w:rPr>
                <w:b/>
                <w:color w:val="auto"/>
                <w:sz w:val="21"/>
                <w:szCs w:val="21"/>
                <w:highlight w:val="none"/>
              </w:rPr>
            </w:pPr>
            <w:r>
              <w:rPr>
                <w:rFonts w:hint="eastAsia"/>
                <w:color w:val="auto"/>
                <w:sz w:val="21"/>
                <w:szCs w:val="21"/>
                <w:highlight w:val="none"/>
              </w:rPr>
              <w:t>不组织，供应商自行考察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noWrap w:val="0"/>
            <w:vAlign w:val="center"/>
          </w:tcPr>
          <w:p>
            <w:pPr>
              <w:pStyle w:val="25"/>
              <w:spacing w:before="1" w:line="360" w:lineRule="auto"/>
              <w:jc w:val="center"/>
              <w:rPr>
                <w:color w:val="auto"/>
                <w:sz w:val="21"/>
                <w:szCs w:val="21"/>
                <w:highlight w:val="none"/>
              </w:rPr>
            </w:pPr>
          </w:p>
          <w:p>
            <w:pPr>
              <w:pStyle w:val="25"/>
              <w:spacing w:before="1" w:line="360" w:lineRule="auto"/>
              <w:ind w:left="118" w:right="109"/>
              <w:jc w:val="center"/>
              <w:rPr>
                <w:color w:val="auto"/>
                <w:sz w:val="21"/>
                <w:szCs w:val="21"/>
                <w:highlight w:val="none"/>
                <w:lang w:val="en-US"/>
              </w:rPr>
            </w:pPr>
            <w:r>
              <w:rPr>
                <w:rFonts w:hint="eastAsia"/>
                <w:color w:val="auto"/>
                <w:sz w:val="21"/>
                <w:szCs w:val="21"/>
                <w:highlight w:val="none"/>
                <w:lang w:val="en-US"/>
              </w:rPr>
              <w:t>13</w:t>
            </w:r>
          </w:p>
        </w:tc>
        <w:tc>
          <w:tcPr>
            <w:tcW w:w="2026" w:type="dxa"/>
            <w:noWrap w:val="0"/>
            <w:vAlign w:val="center"/>
          </w:tcPr>
          <w:p>
            <w:pPr>
              <w:autoSpaceDE w:val="0"/>
              <w:autoSpaceDN w:val="0"/>
              <w:spacing w:line="360" w:lineRule="auto"/>
              <w:jc w:val="center"/>
              <w:rPr>
                <w:rFonts w:ascii="宋体" w:hAnsi="宋体" w:cs="宋体"/>
                <w:color w:val="auto"/>
                <w:kern w:val="0"/>
                <w:highlight w:val="none"/>
                <w:lang w:eastAsia="en-US"/>
              </w:rPr>
            </w:pPr>
            <w:r>
              <w:rPr>
                <w:rFonts w:hint="eastAsia" w:ascii="宋体" w:hAnsi="宋体" w:cs="宋体"/>
                <w:color w:val="auto"/>
                <w:kern w:val="0"/>
                <w:highlight w:val="none"/>
                <w:lang w:eastAsia="en-US"/>
              </w:rPr>
              <w:t>供应商质疑截止时间</w:t>
            </w:r>
          </w:p>
        </w:tc>
        <w:tc>
          <w:tcPr>
            <w:tcW w:w="5562" w:type="dxa"/>
            <w:gridSpan w:val="2"/>
            <w:noWrap w:val="0"/>
            <w:vAlign w:val="center"/>
          </w:tcPr>
          <w:p>
            <w:pPr>
              <w:autoSpaceDE w:val="0"/>
              <w:autoSpaceDN w:val="0"/>
              <w:spacing w:line="360" w:lineRule="auto"/>
              <w:jc w:val="left"/>
              <w:rPr>
                <w:rFonts w:ascii="宋体" w:hAnsi="宋体" w:cs="宋体"/>
                <w:color w:val="auto"/>
                <w:kern w:val="0"/>
                <w:highlight w:val="none"/>
              </w:rPr>
            </w:pPr>
            <w:r>
              <w:rPr>
                <w:rFonts w:hint="eastAsia" w:ascii="宋体" w:hAnsi="宋体" w:cs="宋体"/>
                <w:color w:val="auto"/>
                <w:kern w:val="0"/>
                <w:highlight w:val="none"/>
              </w:rPr>
              <w:t>1、对采购文件提出质疑的，应当在采购文件公告期限届满之日起5日内提出。</w:t>
            </w:r>
          </w:p>
          <w:p>
            <w:pPr>
              <w:autoSpaceDE w:val="0"/>
              <w:autoSpaceDN w:val="0"/>
              <w:spacing w:line="360" w:lineRule="auto"/>
              <w:ind w:firstLine="411" w:firstLineChars="196"/>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接受采购文件质疑的电子邮箱：</w:t>
            </w:r>
            <w:r>
              <w:rPr>
                <w:rFonts w:hint="eastAsia" w:ascii="宋体" w:hAnsi="宋体" w:cs="宋体"/>
                <w:color w:val="auto"/>
                <w:kern w:val="0"/>
                <w:highlight w:val="none"/>
                <w:lang w:eastAsia="zh-CN"/>
              </w:rPr>
              <w:t>504190643</w:t>
            </w:r>
            <w:r>
              <w:rPr>
                <w:rFonts w:hint="eastAsia" w:ascii="宋体" w:hAnsi="宋体" w:cs="宋体"/>
                <w:color w:val="auto"/>
                <w:kern w:val="0"/>
                <w:highlight w:val="none"/>
              </w:rPr>
              <w:t xml:space="preserve">@qq.com ，同时电话至 </w:t>
            </w:r>
            <w:r>
              <w:rPr>
                <w:rFonts w:hint="eastAsia" w:ascii="宋体" w:hAnsi="宋体" w:cs="宋体"/>
                <w:color w:val="auto"/>
                <w:kern w:val="0"/>
                <w:highlight w:val="none"/>
                <w:lang w:eastAsia="zh-CN"/>
              </w:rPr>
              <w:t>15178118182</w:t>
            </w:r>
          </w:p>
          <w:p>
            <w:pPr>
              <w:widowControl/>
              <w:shd w:val="clear" w:color="auto" w:fill="FFFFFF"/>
              <w:autoSpaceDE w:val="0"/>
              <w:autoSpaceDN w:val="0"/>
              <w:spacing w:line="360" w:lineRule="auto"/>
              <w:ind w:firstLine="411" w:firstLineChars="196"/>
              <w:jc w:val="left"/>
              <w:rPr>
                <w:rFonts w:ascii="宋体" w:hAnsi="宋体" w:cs="宋体"/>
                <w:color w:val="auto"/>
                <w:kern w:val="0"/>
                <w:highlight w:val="none"/>
              </w:rPr>
            </w:pPr>
            <w:r>
              <w:rPr>
                <w:rFonts w:hint="eastAsia" w:ascii="宋体" w:hAnsi="宋体" w:cs="宋体"/>
                <w:color w:val="auto"/>
                <w:kern w:val="0"/>
                <w:highlight w:val="none"/>
              </w:rPr>
              <w:t>特别提示：提出质疑时须注明项目名称。</w:t>
            </w:r>
          </w:p>
          <w:p>
            <w:pPr>
              <w:autoSpaceDE w:val="0"/>
              <w:autoSpaceDN w:val="0"/>
              <w:spacing w:line="360" w:lineRule="auto"/>
              <w:jc w:val="left"/>
              <w:rPr>
                <w:rFonts w:ascii="宋体" w:hAnsi="宋体" w:cs="宋体"/>
                <w:color w:val="auto"/>
                <w:kern w:val="0"/>
                <w:highlight w:val="none"/>
              </w:rPr>
            </w:pPr>
            <w:r>
              <w:rPr>
                <w:rFonts w:hint="eastAsia" w:ascii="宋体" w:hAnsi="宋体" w:cs="宋体"/>
                <w:color w:val="auto"/>
                <w:kern w:val="0"/>
                <w:highlight w:val="none"/>
              </w:rPr>
              <w:t>询问答复及澄清或修改：在</w:t>
            </w:r>
            <w:r>
              <w:rPr>
                <w:rFonts w:hint="eastAsia" w:ascii="宋体" w:hAnsi="宋体" w:cs="宋体"/>
                <w:color w:val="auto"/>
                <w:kern w:val="0"/>
                <w:highlight w:val="none"/>
                <w:lang w:eastAsia="zh-CN"/>
              </w:rPr>
              <w:t>安徽融城高新集团网站</w:t>
            </w:r>
            <w:r>
              <w:rPr>
                <w:rFonts w:hint="eastAsia" w:ascii="宋体" w:hAnsi="宋体" w:cs="宋体"/>
                <w:color w:val="auto"/>
                <w:kern w:val="0"/>
                <w:highlight w:val="none"/>
              </w:rPr>
              <w:t>上发布，采购人不再另行通知。</w:t>
            </w:r>
          </w:p>
          <w:p>
            <w:pPr>
              <w:autoSpaceDE w:val="0"/>
              <w:autoSpaceDN w:val="0"/>
              <w:spacing w:line="360" w:lineRule="auto"/>
              <w:jc w:val="left"/>
              <w:rPr>
                <w:rFonts w:ascii="宋体" w:hAnsi="宋体" w:cs="宋体"/>
                <w:color w:val="auto"/>
                <w:highlight w:val="none"/>
              </w:rPr>
            </w:pPr>
            <w:r>
              <w:rPr>
                <w:rFonts w:hint="eastAsia" w:ascii="宋体" w:hAnsi="宋体" w:cs="宋体"/>
                <w:color w:val="auto"/>
                <w:kern w:val="0"/>
                <w:highlight w:val="none"/>
              </w:rPr>
              <w:t>该答复内容及澄清或修改内容为采购文件的组成部分，对供应商具有同样约束力效力。（所有潜在供应商在响应文件提交截止时间前有义务在</w:t>
            </w:r>
            <w:r>
              <w:rPr>
                <w:rFonts w:hint="eastAsia" w:ascii="宋体" w:hAnsi="宋体" w:cs="宋体"/>
                <w:color w:val="auto"/>
                <w:kern w:val="0"/>
                <w:highlight w:val="none"/>
                <w:lang w:eastAsia="zh-CN"/>
              </w:rPr>
              <w:t>安徽融城高新集团网站</w:t>
            </w:r>
            <w:r>
              <w:rPr>
                <w:rFonts w:hint="eastAsia" w:ascii="宋体" w:hAnsi="宋体" w:cs="宋体"/>
                <w:color w:val="auto"/>
                <w:kern w:val="0"/>
                <w:highlight w:val="none"/>
              </w:rPr>
              <w:t>上自行查询，澄清、修改及答疑回复视为全部知晓，无需回复确认。）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jc w:val="center"/>
        </w:trPr>
        <w:tc>
          <w:tcPr>
            <w:tcW w:w="1003" w:type="dxa"/>
            <w:noWrap w:val="0"/>
            <w:vAlign w:val="center"/>
          </w:tcPr>
          <w:p>
            <w:pPr>
              <w:autoSpaceDE w:val="0"/>
              <w:autoSpaceDN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14</w:t>
            </w:r>
          </w:p>
        </w:tc>
        <w:tc>
          <w:tcPr>
            <w:tcW w:w="2026" w:type="dxa"/>
            <w:noWrap w:val="0"/>
            <w:vAlign w:val="center"/>
          </w:tcPr>
          <w:p>
            <w:pPr>
              <w:pStyle w:val="25"/>
              <w:spacing w:line="360" w:lineRule="auto"/>
              <w:jc w:val="center"/>
              <w:rPr>
                <w:color w:val="auto"/>
                <w:sz w:val="21"/>
                <w:szCs w:val="21"/>
                <w:highlight w:val="none"/>
                <w:lang w:eastAsia="en-US"/>
              </w:rPr>
            </w:pPr>
            <w:r>
              <w:rPr>
                <w:rFonts w:hint="eastAsia"/>
                <w:color w:val="auto"/>
                <w:sz w:val="21"/>
                <w:szCs w:val="21"/>
                <w:highlight w:val="none"/>
                <w:lang w:eastAsia="en-US"/>
              </w:rPr>
              <w:t>磋商保证金</w:t>
            </w:r>
          </w:p>
        </w:tc>
        <w:tc>
          <w:tcPr>
            <w:tcW w:w="5562" w:type="dxa"/>
            <w:gridSpan w:val="2"/>
            <w:noWrap w:val="0"/>
            <w:vAlign w:val="center"/>
          </w:tcPr>
          <w:p>
            <w:pPr>
              <w:pStyle w:val="25"/>
              <w:spacing w:line="360" w:lineRule="auto"/>
              <w:ind w:left="108"/>
              <w:rPr>
                <w:rFonts w:hint="eastAsia"/>
                <w:color w:val="auto"/>
                <w:sz w:val="21"/>
                <w:szCs w:val="21"/>
                <w:highlight w:val="none"/>
                <w:lang w:val="en-US" w:eastAsia="zh-CN"/>
              </w:rPr>
            </w:pPr>
            <w:r>
              <w:rPr>
                <w:rFonts w:hint="eastAsia"/>
                <w:color w:val="auto"/>
                <w:sz w:val="21"/>
                <w:szCs w:val="21"/>
                <w:highlight w:val="none"/>
                <w:lang w:val="en-US" w:eastAsia="zh-CN"/>
              </w:rPr>
              <w:t>投标保证金金额：人民币10000元整</w:t>
            </w:r>
          </w:p>
          <w:p>
            <w:pPr>
              <w:pStyle w:val="25"/>
              <w:spacing w:line="360" w:lineRule="auto"/>
              <w:ind w:left="108"/>
              <w:rPr>
                <w:color w:val="auto"/>
                <w:sz w:val="21"/>
                <w:szCs w:val="21"/>
                <w:highlight w:val="none"/>
                <w:lang w:val="en-US"/>
              </w:rPr>
            </w:pPr>
            <w:r>
              <w:rPr>
                <w:rFonts w:hint="eastAsia"/>
                <w:color w:val="auto"/>
                <w:sz w:val="21"/>
                <w:szCs w:val="21"/>
                <w:highlight w:val="none"/>
                <w:lang w:val="en-US" w:eastAsia="zh-CN"/>
              </w:rPr>
              <w:t>备注：投标人以现金形式缴纳保证金，用信封密封且在密封处加盖投标人公章，开标现场交给业主单位。未中标的投标人评标结束后现场退还；中标的投标人在中标结果公示期结束无异议、合同签订后退还。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noWrap w:val="0"/>
            <w:vAlign w:val="center"/>
          </w:tcPr>
          <w:p>
            <w:pPr>
              <w:pStyle w:val="25"/>
              <w:spacing w:before="19" w:line="360" w:lineRule="auto"/>
              <w:ind w:right="249"/>
              <w:jc w:val="center"/>
              <w:rPr>
                <w:color w:val="auto"/>
                <w:sz w:val="21"/>
                <w:szCs w:val="21"/>
                <w:highlight w:val="none"/>
                <w:lang w:val="en-US"/>
              </w:rPr>
            </w:pPr>
            <w:r>
              <w:rPr>
                <w:rFonts w:hint="eastAsia"/>
                <w:color w:val="auto"/>
                <w:sz w:val="21"/>
                <w:szCs w:val="21"/>
                <w:highlight w:val="none"/>
                <w:lang w:val="en-US"/>
              </w:rPr>
              <w:t>15</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磋商有效期</w:t>
            </w:r>
          </w:p>
        </w:tc>
        <w:tc>
          <w:tcPr>
            <w:tcW w:w="5562" w:type="dxa"/>
            <w:gridSpan w:val="2"/>
            <w:noWrap w:val="0"/>
            <w:vAlign w:val="center"/>
          </w:tcPr>
          <w:p>
            <w:pPr>
              <w:pStyle w:val="25"/>
              <w:tabs>
                <w:tab w:val="left" w:pos="828"/>
              </w:tabs>
              <w:spacing w:before="19" w:line="360" w:lineRule="auto"/>
              <w:rPr>
                <w:color w:val="auto"/>
                <w:sz w:val="21"/>
                <w:szCs w:val="21"/>
                <w:highlight w:val="none"/>
              </w:rPr>
            </w:pPr>
            <w:r>
              <w:rPr>
                <w:rFonts w:hint="eastAsia"/>
                <w:color w:val="auto"/>
                <w:sz w:val="21"/>
                <w:szCs w:val="21"/>
                <w:highlight w:val="none"/>
              </w:rPr>
              <w:t>自响应截止之日起</w:t>
            </w:r>
            <w:r>
              <w:rPr>
                <w:rFonts w:hint="eastAsia"/>
                <w:color w:val="auto"/>
                <w:sz w:val="21"/>
                <w:szCs w:val="21"/>
                <w:highlight w:val="none"/>
                <w:lang w:val="en-US"/>
              </w:rPr>
              <w:t>9</w:t>
            </w:r>
            <w:r>
              <w:rPr>
                <w:rFonts w:hint="eastAsia"/>
                <w:color w:val="auto"/>
                <w:sz w:val="21"/>
                <w:szCs w:val="21"/>
                <w:highlight w:val="none"/>
              </w:rPr>
              <w:t>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noWrap w:val="0"/>
            <w:vAlign w:val="center"/>
          </w:tcPr>
          <w:p>
            <w:pPr>
              <w:pStyle w:val="25"/>
              <w:spacing w:before="16" w:line="360" w:lineRule="auto"/>
              <w:ind w:right="249"/>
              <w:jc w:val="center"/>
              <w:rPr>
                <w:color w:val="auto"/>
                <w:sz w:val="21"/>
                <w:szCs w:val="21"/>
                <w:highlight w:val="none"/>
                <w:lang w:val="en-US"/>
              </w:rPr>
            </w:pPr>
            <w:r>
              <w:rPr>
                <w:rFonts w:hint="eastAsia"/>
                <w:color w:val="auto"/>
                <w:sz w:val="21"/>
                <w:szCs w:val="21"/>
                <w:highlight w:val="none"/>
                <w:lang w:val="en-US"/>
              </w:rPr>
              <w:t>16</w:t>
            </w:r>
          </w:p>
        </w:tc>
        <w:tc>
          <w:tcPr>
            <w:tcW w:w="2026" w:type="dxa"/>
            <w:noWrap w:val="0"/>
            <w:vAlign w:val="center"/>
          </w:tcPr>
          <w:p>
            <w:pPr>
              <w:pStyle w:val="25"/>
              <w:spacing w:before="16" w:line="360" w:lineRule="auto"/>
              <w:ind w:left="107"/>
              <w:jc w:val="center"/>
              <w:rPr>
                <w:color w:val="auto"/>
                <w:sz w:val="21"/>
                <w:szCs w:val="21"/>
                <w:highlight w:val="none"/>
                <w:lang w:eastAsia="en-US"/>
              </w:rPr>
            </w:pPr>
            <w:r>
              <w:rPr>
                <w:rFonts w:hint="eastAsia"/>
                <w:color w:val="auto"/>
                <w:sz w:val="21"/>
                <w:szCs w:val="21"/>
                <w:highlight w:val="none"/>
                <w:lang w:eastAsia="en-US"/>
              </w:rPr>
              <w:t>响应文件要求</w:t>
            </w:r>
          </w:p>
        </w:tc>
        <w:tc>
          <w:tcPr>
            <w:tcW w:w="5562" w:type="dxa"/>
            <w:gridSpan w:val="2"/>
            <w:noWrap w:val="0"/>
            <w:vAlign w:val="center"/>
          </w:tcPr>
          <w:p>
            <w:pPr>
              <w:pStyle w:val="31"/>
              <w:numPr>
                <w:ilvl w:val="0"/>
                <w:numId w:val="1"/>
              </w:numPr>
              <w:spacing w:line="300" w:lineRule="auto"/>
              <w:rPr>
                <w:rFonts w:ascii="宋体" w:hAnsi="宋体" w:cs="宋体"/>
                <w:b/>
                <w:bCs/>
                <w:color w:val="auto"/>
                <w:spacing w:val="-8"/>
                <w:kern w:val="2"/>
                <w:sz w:val="21"/>
                <w:szCs w:val="21"/>
                <w:highlight w:val="none"/>
              </w:rPr>
            </w:pPr>
            <w:r>
              <w:rPr>
                <w:rFonts w:hint="eastAsia" w:ascii="宋体" w:hAnsi="宋体" w:cs="宋体"/>
                <w:b/>
                <w:bCs/>
                <w:color w:val="auto"/>
                <w:spacing w:val="-8"/>
                <w:kern w:val="2"/>
                <w:sz w:val="21"/>
                <w:szCs w:val="21"/>
                <w:highlight w:val="none"/>
              </w:rPr>
              <w:t>正本1份；副本2份。</w:t>
            </w:r>
          </w:p>
          <w:p>
            <w:pPr>
              <w:pStyle w:val="31"/>
              <w:spacing w:line="300" w:lineRule="auto"/>
              <w:ind w:left="0" w:firstLine="0"/>
              <w:rPr>
                <w:rFonts w:ascii="宋体" w:hAnsi="宋体" w:cs="宋体"/>
                <w:b/>
                <w:bCs/>
                <w:color w:val="auto"/>
                <w:spacing w:val="-8"/>
                <w:kern w:val="2"/>
                <w:sz w:val="21"/>
                <w:szCs w:val="21"/>
                <w:highlight w:val="none"/>
              </w:rPr>
            </w:pPr>
            <w:r>
              <w:rPr>
                <w:rFonts w:hint="eastAsia" w:ascii="宋体" w:hAnsi="宋体" w:cs="宋体"/>
                <w:b/>
                <w:bCs/>
                <w:color w:val="auto"/>
                <w:spacing w:val="-8"/>
                <w:kern w:val="2"/>
                <w:sz w:val="21"/>
                <w:szCs w:val="21"/>
                <w:highlight w:val="none"/>
              </w:rPr>
              <w:t>集中或分开密封包装均可。投标文件密封袋“封口处”应密封，并加盖供应商公章。响应文件一律胶装，未胶装的，作无效标处理。</w:t>
            </w:r>
          </w:p>
          <w:p>
            <w:pPr>
              <w:pStyle w:val="31"/>
              <w:spacing w:line="300" w:lineRule="auto"/>
              <w:rPr>
                <w:rFonts w:ascii="宋体" w:hAnsi="宋体" w:cs="宋体"/>
                <w:b/>
                <w:bCs/>
                <w:color w:val="auto"/>
                <w:spacing w:val="-8"/>
                <w:kern w:val="2"/>
                <w:sz w:val="21"/>
                <w:szCs w:val="21"/>
                <w:highlight w:val="none"/>
              </w:rPr>
            </w:pPr>
            <w:r>
              <w:rPr>
                <w:rFonts w:hint="eastAsia" w:ascii="宋体" w:hAnsi="宋体" w:cs="宋体"/>
                <w:b/>
                <w:bCs/>
                <w:color w:val="auto"/>
                <w:spacing w:val="-8"/>
                <w:kern w:val="2"/>
                <w:sz w:val="21"/>
                <w:szCs w:val="21"/>
                <w:highlight w:val="none"/>
              </w:rPr>
              <w:t>2、电子版响应文件（U盘）一份。其电子版文件须为签字盖章后纸质版响应文件的完整扫描件。</w:t>
            </w:r>
          </w:p>
          <w:p>
            <w:pPr>
              <w:pStyle w:val="25"/>
              <w:spacing w:before="16" w:line="360" w:lineRule="auto"/>
              <w:ind w:left="108"/>
              <w:rPr>
                <w:color w:val="auto"/>
                <w:sz w:val="21"/>
                <w:szCs w:val="21"/>
                <w:highlight w:val="none"/>
              </w:rPr>
            </w:pPr>
            <w:r>
              <w:rPr>
                <w:rFonts w:hint="eastAsia"/>
                <w:b/>
                <w:bCs/>
                <w:color w:val="auto"/>
                <w:spacing w:val="-8"/>
                <w:kern w:val="2"/>
                <w:sz w:val="21"/>
                <w:szCs w:val="21"/>
                <w:highlight w:val="none"/>
              </w:rPr>
              <w:t>注：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noWrap w:val="0"/>
            <w:vAlign w:val="center"/>
          </w:tcPr>
          <w:p>
            <w:pPr>
              <w:pStyle w:val="25"/>
              <w:spacing w:before="5" w:line="360" w:lineRule="auto"/>
              <w:jc w:val="center"/>
              <w:rPr>
                <w:color w:val="auto"/>
                <w:sz w:val="21"/>
                <w:szCs w:val="21"/>
                <w:highlight w:val="none"/>
              </w:rPr>
            </w:pPr>
          </w:p>
          <w:p>
            <w:pPr>
              <w:pStyle w:val="25"/>
              <w:spacing w:line="360" w:lineRule="auto"/>
              <w:ind w:right="249"/>
              <w:jc w:val="center"/>
              <w:rPr>
                <w:color w:val="auto"/>
                <w:sz w:val="21"/>
                <w:szCs w:val="21"/>
                <w:highlight w:val="none"/>
                <w:lang w:val="en-US"/>
              </w:rPr>
            </w:pPr>
            <w:r>
              <w:rPr>
                <w:rFonts w:hint="eastAsia"/>
                <w:color w:val="auto"/>
                <w:sz w:val="21"/>
                <w:szCs w:val="21"/>
                <w:highlight w:val="none"/>
                <w:lang w:val="en-US"/>
              </w:rPr>
              <w:t>17</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密封要求和封套上写明</w:t>
            </w:r>
          </w:p>
        </w:tc>
        <w:tc>
          <w:tcPr>
            <w:tcW w:w="5562" w:type="dxa"/>
            <w:gridSpan w:val="2"/>
            <w:noWrap w:val="0"/>
            <w:vAlign w:val="center"/>
          </w:tcPr>
          <w:p>
            <w:pPr>
              <w:spacing w:line="500" w:lineRule="atLeast"/>
              <w:rPr>
                <w:rFonts w:ascii="宋体" w:hAnsi="宋体" w:cs="宋体"/>
                <w:color w:val="auto"/>
                <w:highlight w:val="none"/>
              </w:rPr>
            </w:pPr>
            <w:r>
              <w:rPr>
                <w:rFonts w:hint="eastAsia" w:ascii="宋体" w:hAnsi="宋体" w:cs="宋体"/>
                <w:color w:val="auto"/>
                <w:highlight w:val="none"/>
              </w:rPr>
              <w:t>供应商应将响应文件密封装订，同时在密封袋上标明采购人名称，项目名称及供应商名称，密封袋封口处应密封，加盖响应单位公章</w:t>
            </w:r>
          </w:p>
          <w:p>
            <w:pPr>
              <w:spacing w:line="500" w:lineRule="atLeast"/>
              <w:rPr>
                <w:rFonts w:ascii="宋体" w:hAnsi="宋体" w:cs="宋体"/>
                <w:color w:val="auto"/>
                <w:highlight w:val="none"/>
              </w:rPr>
            </w:pPr>
            <w:r>
              <w:rPr>
                <w:rFonts w:hint="eastAsia" w:ascii="宋体" w:hAnsi="宋体" w:cs="宋体"/>
                <w:color w:val="auto"/>
                <w:highlight w:val="none"/>
              </w:rPr>
              <w:t>采购人名称：</w:t>
            </w:r>
          </w:p>
          <w:p>
            <w:pPr>
              <w:spacing w:line="440" w:lineRule="exact"/>
              <w:rPr>
                <w:rFonts w:ascii="宋体" w:hAnsi="宋体" w:cs="宋体"/>
                <w:color w:val="auto"/>
                <w:highlight w:val="none"/>
              </w:rPr>
            </w:pPr>
            <w:r>
              <w:rPr>
                <w:rFonts w:hint="eastAsia" w:ascii="宋体" w:hAnsi="宋体" w:cs="宋体"/>
                <w:color w:val="auto"/>
                <w:highlight w:val="none"/>
              </w:rPr>
              <w:t>XXX(项目名称)响应文件</w:t>
            </w:r>
          </w:p>
          <w:p>
            <w:pPr>
              <w:spacing w:line="440" w:lineRule="exact"/>
              <w:rPr>
                <w:rFonts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xml:space="preserve">              </w:t>
            </w:r>
            <w:r>
              <w:rPr>
                <w:rFonts w:hint="eastAsia" w:ascii="宋体" w:hAnsi="宋体" w:cs="宋体"/>
                <w:color w:val="auto"/>
                <w:highlight w:val="none"/>
              </w:rPr>
              <w:t>（盖响应单位公章）</w:t>
            </w:r>
          </w:p>
          <w:p>
            <w:pPr>
              <w:spacing w:line="440" w:lineRule="exact"/>
              <w:rPr>
                <w:rFonts w:ascii="宋体" w:hAnsi="宋体" w:cs="宋体"/>
                <w:color w:val="auto"/>
                <w:highlight w:val="none"/>
                <w:u w:val="single"/>
              </w:rPr>
            </w:pPr>
            <w:r>
              <w:rPr>
                <w:rFonts w:hint="eastAsia" w:ascii="宋体" w:hAnsi="宋体" w:cs="宋体"/>
                <w:color w:val="auto"/>
                <w:highlight w:val="none"/>
              </w:rPr>
              <w:t>响应单位地址：</w:t>
            </w:r>
            <w:r>
              <w:rPr>
                <w:rFonts w:hint="eastAsia" w:ascii="宋体" w:hAnsi="宋体" w:cs="宋体"/>
                <w:color w:val="auto"/>
                <w:highlight w:val="none"/>
                <w:u w:val="single"/>
              </w:rPr>
              <w:t xml:space="preserve">                        </w:t>
            </w:r>
          </w:p>
          <w:p>
            <w:pPr>
              <w:spacing w:line="500" w:lineRule="atLeast"/>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82" w:hRule="atLeast"/>
          <w:jc w:val="center"/>
        </w:trPr>
        <w:tc>
          <w:tcPr>
            <w:tcW w:w="1003" w:type="dxa"/>
            <w:noWrap w:val="0"/>
            <w:vAlign w:val="center"/>
          </w:tcPr>
          <w:p>
            <w:pPr>
              <w:pStyle w:val="25"/>
              <w:spacing w:line="360" w:lineRule="auto"/>
              <w:ind w:right="249"/>
              <w:jc w:val="center"/>
              <w:rPr>
                <w:color w:val="auto"/>
                <w:sz w:val="21"/>
                <w:szCs w:val="21"/>
                <w:highlight w:val="none"/>
                <w:lang w:val="en-US"/>
              </w:rPr>
            </w:pPr>
            <w:r>
              <w:rPr>
                <w:rFonts w:hint="eastAsia"/>
                <w:color w:val="auto"/>
                <w:sz w:val="21"/>
                <w:szCs w:val="21"/>
                <w:highlight w:val="none"/>
                <w:lang w:val="en-US"/>
              </w:rPr>
              <w:t>18</w:t>
            </w:r>
          </w:p>
        </w:tc>
        <w:tc>
          <w:tcPr>
            <w:tcW w:w="2026" w:type="dxa"/>
            <w:noWrap w:val="0"/>
            <w:vAlign w:val="center"/>
          </w:tcPr>
          <w:p>
            <w:pPr>
              <w:pStyle w:val="25"/>
              <w:spacing w:before="161" w:line="360" w:lineRule="auto"/>
              <w:ind w:left="107"/>
              <w:jc w:val="center"/>
              <w:rPr>
                <w:color w:val="auto"/>
                <w:sz w:val="21"/>
                <w:szCs w:val="21"/>
                <w:highlight w:val="none"/>
                <w:lang w:eastAsia="en-US"/>
              </w:rPr>
            </w:pPr>
            <w:r>
              <w:rPr>
                <w:rFonts w:hint="eastAsia"/>
                <w:color w:val="auto"/>
                <w:sz w:val="21"/>
                <w:szCs w:val="21"/>
                <w:highlight w:val="none"/>
                <w:lang w:eastAsia="en-US"/>
              </w:rPr>
              <w:t>响应文件递交地点</w:t>
            </w:r>
          </w:p>
        </w:tc>
        <w:tc>
          <w:tcPr>
            <w:tcW w:w="5562" w:type="dxa"/>
            <w:gridSpan w:val="2"/>
            <w:noWrap w:val="0"/>
            <w:vAlign w:val="center"/>
          </w:tcPr>
          <w:p>
            <w:pPr>
              <w:pStyle w:val="25"/>
              <w:spacing w:before="161" w:line="360" w:lineRule="auto"/>
              <w:rPr>
                <w:rFonts w:hint="eastAsia" w:eastAsia="宋体"/>
                <w:color w:val="auto"/>
                <w:sz w:val="21"/>
                <w:szCs w:val="21"/>
                <w:highlight w:val="none"/>
                <w:lang w:eastAsia="zh-CN"/>
              </w:rPr>
            </w:pPr>
            <w:r>
              <w:rPr>
                <w:rFonts w:hint="eastAsia"/>
                <w:color w:val="auto"/>
                <w:sz w:val="21"/>
                <w:szCs w:val="21"/>
                <w:highlight w:val="none"/>
              </w:rPr>
              <w:t>磋商地点：</w:t>
            </w:r>
            <w:r>
              <w:rPr>
                <w:rFonts w:hint="eastAsia"/>
                <w:color w:val="auto"/>
                <w:sz w:val="21"/>
                <w:szCs w:val="21"/>
                <w:highlight w:val="none"/>
                <w:lang w:eastAsia="zh-CN"/>
              </w:rPr>
              <w:t>界首市商业投资有限公司会议室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noWrap w:val="0"/>
            <w:vAlign w:val="center"/>
          </w:tcPr>
          <w:p>
            <w:pPr>
              <w:pStyle w:val="25"/>
              <w:spacing w:before="1" w:line="360" w:lineRule="auto"/>
              <w:jc w:val="center"/>
              <w:rPr>
                <w:color w:val="auto"/>
                <w:sz w:val="21"/>
                <w:szCs w:val="21"/>
                <w:highlight w:val="none"/>
                <w:lang w:val="en-US"/>
              </w:rPr>
            </w:pPr>
            <w:r>
              <w:rPr>
                <w:rFonts w:hint="eastAsia"/>
                <w:color w:val="auto"/>
                <w:sz w:val="21"/>
                <w:szCs w:val="21"/>
                <w:highlight w:val="none"/>
                <w:lang w:val="en-US"/>
              </w:rPr>
              <w:t>19</w:t>
            </w:r>
          </w:p>
        </w:tc>
        <w:tc>
          <w:tcPr>
            <w:tcW w:w="2026" w:type="dxa"/>
            <w:noWrap w:val="0"/>
            <w:vAlign w:val="center"/>
          </w:tcPr>
          <w:p>
            <w:pPr>
              <w:pStyle w:val="25"/>
              <w:spacing w:before="16" w:line="360" w:lineRule="auto"/>
              <w:ind w:left="107"/>
              <w:jc w:val="center"/>
              <w:rPr>
                <w:color w:val="auto"/>
                <w:sz w:val="21"/>
                <w:szCs w:val="21"/>
                <w:highlight w:val="none"/>
                <w:lang w:eastAsia="en-US"/>
              </w:rPr>
            </w:pPr>
            <w:r>
              <w:rPr>
                <w:rFonts w:hint="eastAsia"/>
                <w:color w:val="auto"/>
                <w:sz w:val="21"/>
                <w:szCs w:val="21"/>
                <w:highlight w:val="none"/>
                <w:lang w:eastAsia="en-US"/>
              </w:rPr>
              <w:t>磋商时间</w:t>
            </w:r>
          </w:p>
        </w:tc>
        <w:tc>
          <w:tcPr>
            <w:tcW w:w="5562" w:type="dxa"/>
            <w:gridSpan w:val="2"/>
            <w:noWrap w:val="0"/>
            <w:vAlign w:val="center"/>
          </w:tcPr>
          <w:p>
            <w:pPr>
              <w:pStyle w:val="25"/>
              <w:spacing w:before="16" w:line="360" w:lineRule="auto"/>
              <w:rPr>
                <w:color w:val="auto"/>
                <w:sz w:val="21"/>
                <w:szCs w:val="21"/>
                <w:highlight w:val="none"/>
              </w:rPr>
            </w:pPr>
            <w:r>
              <w:rPr>
                <w:rFonts w:hint="eastAsia"/>
                <w:color w:val="auto"/>
                <w:sz w:val="21"/>
                <w:szCs w:val="21"/>
                <w:highlight w:val="none"/>
              </w:rPr>
              <w:t>磋商时间：202</w:t>
            </w:r>
            <w:r>
              <w:rPr>
                <w:rFonts w:hint="eastAsia"/>
                <w:color w:val="auto"/>
                <w:sz w:val="21"/>
                <w:szCs w:val="21"/>
                <w:highlight w:val="none"/>
                <w:lang w:val="en-US" w:eastAsia="zh-CN"/>
              </w:rPr>
              <w:t>3</w:t>
            </w:r>
            <w:r>
              <w:rPr>
                <w:rFonts w:hint="eastAsia"/>
                <w:color w:val="auto"/>
                <w:sz w:val="21"/>
                <w:szCs w:val="21"/>
                <w:highlight w:val="none"/>
              </w:rPr>
              <w:t>年0</w:t>
            </w:r>
            <w:r>
              <w:rPr>
                <w:rFonts w:hint="eastAsia"/>
                <w:color w:val="auto"/>
                <w:sz w:val="21"/>
                <w:szCs w:val="21"/>
                <w:highlight w:val="none"/>
                <w:lang w:val="en-US" w:eastAsia="zh-CN"/>
              </w:rPr>
              <w:t>7</w:t>
            </w:r>
            <w:r>
              <w:rPr>
                <w:rFonts w:hint="eastAsia"/>
                <w:color w:val="auto"/>
                <w:sz w:val="21"/>
                <w:szCs w:val="21"/>
                <w:highlight w:val="none"/>
              </w:rPr>
              <w:t>月</w:t>
            </w:r>
            <w:r>
              <w:rPr>
                <w:rFonts w:hint="eastAsia"/>
                <w:color w:val="auto"/>
                <w:sz w:val="21"/>
                <w:szCs w:val="21"/>
                <w:highlight w:val="none"/>
                <w:lang w:val="en-US" w:eastAsia="zh-CN"/>
              </w:rPr>
              <w:t>18</w:t>
            </w:r>
            <w:r>
              <w:rPr>
                <w:rFonts w:hint="eastAsia"/>
                <w:color w:val="auto"/>
                <w:sz w:val="21"/>
                <w:szCs w:val="21"/>
                <w:highlight w:val="none"/>
              </w:rPr>
              <w:t>日15点00分（北京时间）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07" w:hRule="atLeast"/>
          <w:jc w:val="center"/>
        </w:trPr>
        <w:tc>
          <w:tcPr>
            <w:tcW w:w="1003" w:type="dxa"/>
            <w:vMerge w:val="continue"/>
            <w:noWrap w:val="0"/>
            <w:vAlign w:val="center"/>
          </w:tcPr>
          <w:p>
            <w:pPr>
              <w:autoSpaceDE w:val="0"/>
              <w:autoSpaceDN w:val="0"/>
              <w:spacing w:line="360" w:lineRule="auto"/>
              <w:jc w:val="center"/>
              <w:rPr>
                <w:rFonts w:ascii="宋体" w:hAnsi="宋体" w:cs="宋体"/>
                <w:color w:val="auto"/>
                <w:kern w:val="0"/>
                <w:highlight w:val="none"/>
              </w:rPr>
            </w:pPr>
          </w:p>
        </w:tc>
        <w:tc>
          <w:tcPr>
            <w:tcW w:w="2026" w:type="dxa"/>
            <w:noWrap w:val="0"/>
            <w:vAlign w:val="center"/>
          </w:tcPr>
          <w:p>
            <w:pPr>
              <w:pStyle w:val="25"/>
              <w:spacing w:before="16" w:line="360" w:lineRule="auto"/>
              <w:ind w:left="107"/>
              <w:jc w:val="center"/>
              <w:rPr>
                <w:color w:val="auto"/>
                <w:sz w:val="21"/>
                <w:szCs w:val="21"/>
                <w:highlight w:val="none"/>
                <w:lang w:eastAsia="en-US"/>
              </w:rPr>
            </w:pPr>
            <w:r>
              <w:rPr>
                <w:rFonts w:hint="eastAsia"/>
                <w:color w:val="auto"/>
                <w:sz w:val="21"/>
                <w:szCs w:val="21"/>
                <w:highlight w:val="none"/>
                <w:lang w:eastAsia="en-US"/>
              </w:rPr>
              <w:t>磋商地点</w:t>
            </w:r>
          </w:p>
        </w:tc>
        <w:tc>
          <w:tcPr>
            <w:tcW w:w="5562" w:type="dxa"/>
            <w:gridSpan w:val="2"/>
            <w:noWrap w:val="0"/>
            <w:vAlign w:val="center"/>
          </w:tcPr>
          <w:p>
            <w:pPr>
              <w:pStyle w:val="25"/>
              <w:spacing w:before="16"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界首市商业投资有限公司会议室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03" w:hRule="atLeast"/>
          <w:jc w:val="center"/>
        </w:trPr>
        <w:tc>
          <w:tcPr>
            <w:tcW w:w="1003" w:type="dxa"/>
            <w:noWrap w:val="0"/>
            <w:vAlign w:val="center"/>
          </w:tcPr>
          <w:p>
            <w:pPr>
              <w:pStyle w:val="25"/>
              <w:spacing w:before="19" w:line="360" w:lineRule="auto"/>
              <w:ind w:right="249"/>
              <w:jc w:val="center"/>
              <w:rPr>
                <w:color w:val="auto"/>
                <w:sz w:val="21"/>
                <w:szCs w:val="21"/>
                <w:highlight w:val="none"/>
                <w:lang w:val="en-US"/>
              </w:rPr>
            </w:pPr>
            <w:r>
              <w:rPr>
                <w:rFonts w:hint="eastAsia"/>
                <w:color w:val="auto"/>
                <w:sz w:val="21"/>
                <w:szCs w:val="21"/>
                <w:highlight w:val="none"/>
                <w:lang w:val="en-US"/>
              </w:rPr>
              <w:t>20</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评审方法</w:t>
            </w:r>
          </w:p>
        </w:tc>
        <w:tc>
          <w:tcPr>
            <w:tcW w:w="5562" w:type="dxa"/>
            <w:gridSpan w:val="2"/>
            <w:noWrap w:val="0"/>
            <w:vAlign w:val="center"/>
          </w:tcPr>
          <w:p>
            <w:pPr>
              <w:pStyle w:val="25"/>
              <w:spacing w:before="19" w:line="360" w:lineRule="auto"/>
              <w:rPr>
                <w:color w:val="auto"/>
                <w:sz w:val="21"/>
                <w:szCs w:val="21"/>
                <w:highlight w:val="none"/>
                <w:lang w:eastAsia="en-US"/>
              </w:rPr>
            </w:pPr>
            <w:r>
              <w:rPr>
                <w:rFonts w:hint="eastAsia"/>
                <w:color w:val="auto"/>
                <w:sz w:val="21"/>
                <w:szCs w:val="21"/>
                <w:highlight w:val="none"/>
                <w:u w:val="single"/>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03" w:hRule="atLeast"/>
          <w:jc w:val="center"/>
        </w:trPr>
        <w:tc>
          <w:tcPr>
            <w:tcW w:w="1003" w:type="dxa"/>
            <w:noWrap w:val="0"/>
            <w:vAlign w:val="center"/>
          </w:tcPr>
          <w:p>
            <w:pPr>
              <w:pStyle w:val="25"/>
              <w:spacing w:before="19" w:line="360" w:lineRule="auto"/>
              <w:ind w:right="249"/>
              <w:jc w:val="center"/>
              <w:rPr>
                <w:color w:val="auto"/>
                <w:sz w:val="21"/>
                <w:szCs w:val="21"/>
                <w:highlight w:val="none"/>
                <w:lang w:val="en-US"/>
              </w:rPr>
            </w:pPr>
            <w:r>
              <w:rPr>
                <w:rFonts w:hint="eastAsia"/>
                <w:color w:val="auto"/>
                <w:sz w:val="21"/>
                <w:szCs w:val="21"/>
                <w:highlight w:val="none"/>
                <w:lang w:val="en-US"/>
              </w:rPr>
              <w:t>21</w:t>
            </w:r>
          </w:p>
        </w:tc>
        <w:tc>
          <w:tcPr>
            <w:tcW w:w="2026" w:type="dxa"/>
            <w:noWrap w:val="0"/>
            <w:vAlign w:val="center"/>
          </w:tcPr>
          <w:p>
            <w:pPr>
              <w:spacing w:line="380" w:lineRule="exact"/>
              <w:jc w:val="center"/>
              <w:textAlignment w:val="center"/>
              <w:rPr>
                <w:rFonts w:ascii="宋体" w:hAnsi="宋体" w:cs="宋体"/>
                <w:color w:val="auto"/>
                <w:highlight w:val="none"/>
                <w:lang w:eastAsia="en-US"/>
              </w:rPr>
            </w:pPr>
            <w:r>
              <w:rPr>
                <w:rFonts w:hint="eastAsia" w:ascii="宋体" w:hAnsi="宋体" w:cs="宋体"/>
                <w:color w:val="auto"/>
                <w:highlight w:val="none"/>
              </w:rPr>
              <w:t>人员到场</w:t>
            </w:r>
          </w:p>
        </w:tc>
        <w:tc>
          <w:tcPr>
            <w:tcW w:w="5562" w:type="dxa"/>
            <w:gridSpan w:val="2"/>
            <w:noWrap w:val="0"/>
            <w:vAlign w:val="center"/>
          </w:tcPr>
          <w:p>
            <w:pPr>
              <w:autoSpaceDE w:val="0"/>
              <w:autoSpaceDN w:val="0"/>
              <w:adjustRightInd w:val="0"/>
              <w:spacing w:line="380" w:lineRule="exact"/>
              <w:jc w:val="left"/>
              <w:textAlignment w:val="center"/>
              <w:rPr>
                <w:rFonts w:ascii="宋体" w:hAnsi="宋体" w:cs="宋体"/>
                <w:b/>
                <w:bCs/>
                <w:color w:val="auto"/>
                <w:highlight w:val="none"/>
              </w:rPr>
            </w:pPr>
            <w:r>
              <w:rPr>
                <w:rFonts w:hint="eastAsia" w:ascii="宋体" w:hAnsi="宋体" w:cs="宋体"/>
                <w:b/>
                <w:bCs/>
                <w:color w:val="auto"/>
                <w:highlight w:val="none"/>
              </w:rPr>
              <w:t>供应商凭以下资料递交报价文件：</w:t>
            </w:r>
          </w:p>
          <w:p>
            <w:pPr>
              <w:autoSpaceDE w:val="0"/>
              <w:autoSpaceDN w:val="0"/>
              <w:adjustRightInd w:val="0"/>
              <w:spacing w:line="380" w:lineRule="exact"/>
              <w:jc w:val="left"/>
              <w:textAlignment w:val="center"/>
              <w:rPr>
                <w:rFonts w:ascii="宋体" w:hAnsi="宋体" w:cs="宋体"/>
                <w:b/>
                <w:bCs/>
                <w:color w:val="auto"/>
                <w:highlight w:val="none"/>
              </w:rPr>
            </w:pPr>
            <w:r>
              <w:rPr>
                <w:rFonts w:hint="eastAsia" w:ascii="宋体" w:hAnsi="宋体" w:cs="宋体"/>
                <w:b/>
                <w:bCs/>
                <w:color w:val="auto"/>
                <w:highlight w:val="none"/>
              </w:rPr>
              <w:t>①授权委托书原件并加盖公章；②授权人身份证原件。</w:t>
            </w:r>
          </w:p>
          <w:p>
            <w:pPr>
              <w:autoSpaceDE w:val="0"/>
              <w:autoSpaceDN w:val="0"/>
              <w:adjustRightInd w:val="0"/>
              <w:spacing w:line="380" w:lineRule="exact"/>
              <w:jc w:val="left"/>
              <w:textAlignment w:val="center"/>
              <w:rPr>
                <w:rFonts w:ascii="宋体" w:hAnsi="宋体" w:cs="宋体"/>
                <w:color w:val="auto"/>
                <w:highlight w:val="none"/>
                <w:u w:val="single"/>
              </w:rPr>
            </w:pPr>
            <w:r>
              <w:rPr>
                <w:rFonts w:hint="eastAsia" w:ascii="宋体" w:hAnsi="宋体" w:cs="宋体"/>
                <w:b/>
                <w:bCs/>
                <w:color w:val="auto"/>
                <w:highlight w:val="none"/>
              </w:rPr>
              <w:t>若法定代表人本人参加，只需提供身份证复印件加盖单位公章。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noWrap w:val="0"/>
            <w:vAlign w:val="center"/>
          </w:tcPr>
          <w:p>
            <w:pPr>
              <w:pStyle w:val="25"/>
              <w:spacing w:before="146" w:line="360" w:lineRule="auto"/>
              <w:ind w:right="249"/>
              <w:jc w:val="center"/>
              <w:rPr>
                <w:color w:val="auto"/>
                <w:sz w:val="21"/>
                <w:szCs w:val="21"/>
                <w:highlight w:val="none"/>
                <w:lang w:eastAsia="en-US"/>
              </w:rPr>
            </w:pPr>
            <w:r>
              <w:rPr>
                <w:rFonts w:hint="eastAsia"/>
                <w:color w:val="auto"/>
                <w:sz w:val="21"/>
                <w:szCs w:val="21"/>
                <w:highlight w:val="none"/>
                <w:lang w:eastAsia="en-US"/>
              </w:rPr>
              <w:t>22</w:t>
            </w:r>
          </w:p>
        </w:tc>
        <w:tc>
          <w:tcPr>
            <w:tcW w:w="2026" w:type="dxa"/>
            <w:noWrap w:val="0"/>
            <w:vAlign w:val="center"/>
          </w:tcPr>
          <w:p>
            <w:pPr>
              <w:pStyle w:val="25"/>
              <w:spacing w:line="360" w:lineRule="auto"/>
              <w:ind w:left="107"/>
              <w:jc w:val="center"/>
              <w:rPr>
                <w:color w:val="auto"/>
                <w:sz w:val="21"/>
                <w:szCs w:val="21"/>
                <w:highlight w:val="none"/>
                <w:lang w:eastAsia="en-US"/>
              </w:rPr>
            </w:pPr>
            <w:r>
              <w:rPr>
                <w:rFonts w:hint="eastAsia"/>
                <w:color w:val="auto"/>
                <w:sz w:val="21"/>
                <w:szCs w:val="21"/>
                <w:highlight w:val="none"/>
                <w:lang w:eastAsia="en-US"/>
              </w:rPr>
              <w:t>告知磋商结果的</w:t>
            </w:r>
          </w:p>
          <w:p>
            <w:pPr>
              <w:pStyle w:val="25"/>
              <w:spacing w:before="158" w:line="360" w:lineRule="auto"/>
              <w:ind w:left="107"/>
              <w:jc w:val="center"/>
              <w:rPr>
                <w:color w:val="auto"/>
                <w:sz w:val="21"/>
                <w:szCs w:val="21"/>
                <w:highlight w:val="none"/>
                <w:lang w:eastAsia="en-US"/>
              </w:rPr>
            </w:pPr>
            <w:r>
              <w:rPr>
                <w:rFonts w:hint="eastAsia"/>
                <w:color w:val="auto"/>
                <w:sz w:val="21"/>
                <w:szCs w:val="21"/>
                <w:highlight w:val="none"/>
                <w:lang w:eastAsia="en-US"/>
              </w:rPr>
              <w:t>形式</w:t>
            </w:r>
          </w:p>
        </w:tc>
        <w:tc>
          <w:tcPr>
            <w:tcW w:w="5562" w:type="dxa"/>
            <w:gridSpan w:val="2"/>
            <w:noWrap w:val="0"/>
            <w:vAlign w:val="center"/>
          </w:tcPr>
          <w:p>
            <w:pPr>
              <w:pStyle w:val="25"/>
              <w:spacing w:before="158" w:line="360" w:lineRule="auto"/>
              <w:ind w:left="108"/>
              <w:rPr>
                <w:color w:val="auto"/>
                <w:sz w:val="21"/>
                <w:szCs w:val="21"/>
                <w:highlight w:val="none"/>
              </w:rPr>
            </w:pPr>
            <w:r>
              <w:rPr>
                <w:rFonts w:hint="eastAsia"/>
                <w:color w:val="auto"/>
                <w:sz w:val="21"/>
                <w:szCs w:val="21"/>
                <w:highlight w:val="none"/>
              </w:rPr>
              <w:t>投标人自行</w:t>
            </w:r>
            <w:r>
              <w:rPr>
                <w:rFonts w:hint="eastAsia"/>
                <w:color w:val="auto"/>
                <w:sz w:val="21"/>
                <w:szCs w:val="21"/>
                <w:highlight w:val="none"/>
                <w:lang w:val="en-US"/>
              </w:rPr>
              <w:t>在</w:t>
            </w:r>
            <w:r>
              <w:rPr>
                <w:rFonts w:hint="eastAsia"/>
                <w:color w:val="auto"/>
                <w:sz w:val="21"/>
                <w:szCs w:val="21"/>
                <w:highlight w:val="none"/>
                <w:lang w:val="en-US" w:eastAsia="zh-CN"/>
              </w:rPr>
              <w:t>安徽融城高新集团网站</w:t>
            </w:r>
            <w:r>
              <w:rPr>
                <w:rFonts w:hint="eastAsia"/>
                <w:color w:val="auto"/>
                <w:sz w:val="21"/>
                <w:szCs w:val="21"/>
                <w:highlight w:val="none"/>
              </w:rPr>
              <w:t>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9" w:hRule="atLeast"/>
          <w:jc w:val="center"/>
        </w:trPr>
        <w:tc>
          <w:tcPr>
            <w:tcW w:w="1003" w:type="dxa"/>
            <w:noWrap w:val="0"/>
            <w:vAlign w:val="center"/>
          </w:tcPr>
          <w:p>
            <w:pPr>
              <w:pStyle w:val="25"/>
              <w:spacing w:before="214" w:line="360" w:lineRule="auto"/>
              <w:ind w:right="249"/>
              <w:jc w:val="center"/>
              <w:rPr>
                <w:color w:val="auto"/>
                <w:sz w:val="21"/>
                <w:szCs w:val="21"/>
                <w:highlight w:val="none"/>
                <w:lang w:val="en-US"/>
              </w:rPr>
            </w:pPr>
            <w:r>
              <w:rPr>
                <w:rFonts w:hint="eastAsia"/>
                <w:color w:val="auto"/>
                <w:sz w:val="21"/>
                <w:szCs w:val="21"/>
                <w:highlight w:val="none"/>
                <w:lang w:val="en-US"/>
              </w:rPr>
              <w:t>24</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采购代理服务费</w:t>
            </w:r>
          </w:p>
        </w:tc>
        <w:tc>
          <w:tcPr>
            <w:tcW w:w="5562" w:type="dxa"/>
            <w:gridSpan w:val="2"/>
            <w:noWrap w:val="0"/>
            <w:vAlign w:val="center"/>
          </w:tcPr>
          <w:p>
            <w:pPr>
              <w:numPr>
                <w:ilvl w:val="0"/>
                <w:numId w:val="2"/>
              </w:numPr>
              <w:spacing w:line="500" w:lineRule="atLeast"/>
              <w:rPr>
                <w:rFonts w:ascii="宋体" w:hAnsi="宋体" w:cs="宋体"/>
                <w:b/>
                <w:bCs/>
                <w:color w:val="auto"/>
                <w:highlight w:val="none"/>
              </w:rPr>
            </w:pPr>
            <w:r>
              <w:rPr>
                <w:rFonts w:hint="eastAsia" w:ascii="宋体" w:hAnsi="宋体" w:cs="宋体"/>
                <w:b/>
                <w:bCs/>
                <w:color w:val="auto"/>
                <w:highlight w:val="none"/>
              </w:rPr>
              <w:t>代理服务费：参照原国家计委计价【2002】1980号、【2003】857号文件标准收取</w:t>
            </w:r>
            <w:r>
              <w:rPr>
                <w:rFonts w:hint="eastAsia" w:ascii="宋体" w:hAnsi="宋体" w:cs="宋体"/>
                <w:b/>
                <w:bCs/>
                <w:color w:val="auto"/>
                <w:highlight w:val="none"/>
                <w:lang w:val="en-US" w:eastAsia="zh-CN"/>
              </w:rPr>
              <w:t>7000</w:t>
            </w:r>
            <w:r>
              <w:rPr>
                <w:rFonts w:hint="eastAsia" w:ascii="宋体" w:hAnsi="宋体" w:cs="宋体"/>
                <w:b/>
                <w:bCs/>
                <w:color w:val="auto"/>
                <w:highlight w:val="none"/>
              </w:rPr>
              <w:t>元。</w:t>
            </w:r>
          </w:p>
          <w:p>
            <w:pPr>
              <w:spacing w:line="500" w:lineRule="atLeast"/>
              <w:rPr>
                <w:rFonts w:ascii="宋体" w:hAnsi="宋体" w:cs="宋体"/>
                <w:color w:val="auto"/>
                <w:highlight w:val="none"/>
              </w:rPr>
            </w:pPr>
            <w:r>
              <w:rPr>
                <w:rFonts w:hint="eastAsia" w:ascii="宋体" w:hAnsi="宋体" w:cs="宋体"/>
                <w:b/>
                <w:bCs/>
                <w:color w:val="auto"/>
                <w:highlight w:val="none"/>
              </w:rPr>
              <w:t>注：以上费用不单独列出，供应商自行考虑。成交人在领取成交通知书前支付以上费用。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94" w:type="dxa"/>
          <w:trHeight w:val="2800" w:hRule="atLeast"/>
          <w:jc w:val="center"/>
        </w:trPr>
        <w:tc>
          <w:tcPr>
            <w:tcW w:w="1003" w:type="dxa"/>
            <w:noWrap w:val="0"/>
            <w:vAlign w:val="center"/>
          </w:tcPr>
          <w:p>
            <w:pPr>
              <w:pStyle w:val="25"/>
              <w:spacing w:line="360" w:lineRule="auto"/>
              <w:ind w:right="489"/>
              <w:jc w:val="center"/>
              <w:rPr>
                <w:color w:val="auto"/>
                <w:sz w:val="21"/>
                <w:szCs w:val="21"/>
                <w:highlight w:val="none"/>
                <w:lang w:val="en-US"/>
              </w:rPr>
            </w:pPr>
            <w:r>
              <w:rPr>
                <w:rFonts w:hint="eastAsia"/>
                <w:color w:val="auto"/>
                <w:sz w:val="21"/>
                <w:szCs w:val="21"/>
                <w:highlight w:val="none"/>
                <w:lang w:val="en-US"/>
              </w:rPr>
              <w:t>25</w:t>
            </w:r>
          </w:p>
        </w:tc>
        <w:tc>
          <w:tcPr>
            <w:tcW w:w="2026" w:type="dxa"/>
            <w:noWrap w:val="0"/>
            <w:vAlign w:val="center"/>
          </w:tcPr>
          <w:p>
            <w:pPr>
              <w:pStyle w:val="25"/>
              <w:spacing w:line="360" w:lineRule="auto"/>
              <w:jc w:val="center"/>
              <w:rPr>
                <w:color w:val="auto"/>
                <w:sz w:val="21"/>
                <w:szCs w:val="21"/>
                <w:highlight w:val="none"/>
                <w:lang w:eastAsia="en-US"/>
              </w:rPr>
            </w:pPr>
            <w:r>
              <w:rPr>
                <w:rFonts w:hint="eastAsia"/>
                <w:color w:val="auto"/>
                <w:sz w:val="21"/>
                <w:szCs w:val="21"/>
                <w:highlight w:val="none"/>
                <w:lang w:eastAsia="en-US"/>
              </w:rPr>
              <w:t>解释权</w:t>
            </w:r>
          </w:p>
        </w:tc>
        <w:tc>
          <w:tcPr>
            <w:tcW w:w="5468" w:type="dxa"/>
            <w:noWrap w:val="0"/>
            <w:vAlign w:val="center"/>
          </w:tcPr>
          <w:p>
            <w:pPr>
              <w:pStyle w:val="25"/>
              <w:numPr>
                <w:ilvl w:val="0"/>
                <w:numId w:val="3"/>
              </w:numPr>
              <w:tabs>
                <w:tab w:val="left" w:pos="710"/>
              </w:tabs>
              <w:spacing w:line="276" w:lineRule="auto"/>
              <w:ind w:right="-29" w:firstLine="0"/>
              <w:rPr>
                <w:color w:val="auto"/>
                <w:sz w:val="21"/>
                <w:szCs w:val="21"/>
                <w:highlight w:val="none"/>
              </w:rPr>
            </w:pPr>
            <w:r>
              <w:rPr>
                <w:rFonts w:hint="eastAsia"/>
                <w:color w:val="auto"/>
                <w:sz w:val="21"/>
                <w:szCs w:val="21"/>
                <w:highlight w:val="none"/>
              </w:rPr>
              <w:t>构成本磋商文件的各个组成文件应互为解释，互为说明；</w:t>
            </w:r>
          </w:p>
          <w:p>
            <w:pPr>
              <w:pStyle w:val="25"/>
              <w:numPr>
                <w:ilvl w:val="0"/>
                <w:numId w:val="3"/>
              </w:numPr>
              <w:tabs>
                <w:tab w:val="left" w:pos="723"/>
              </w:tabs>
              <w:spacing w:before="4" w:line="276" w:lineRule="auto"/>
              <w:ind w:right="102" w:firstLine="0"/>
              <w:rPr>
                <w:color w:val="auto"/>
                <w:sz w:val="21"/>
                <w:szCs w:val="21"/>
                <w:highlight w:val="none"/>
              </w:rPr>
            </w:pPr>
            <w:r>
              <w:rPr>
                <w:rFonts w:hint="eastAsia"/>
                <w:color w:val="auto"/>
                <w:sz w:val="21"/>
                <w:szCs w:val="21"/>
                <w:highlight w:val="none"/>
              </w:rPr>
              <w:t>同一组成文件中就同一事项的规定或约定不一致的，以编排顺序在后者为准；</w:t>
            </w:r>
          </w:p>
          <w:p>
            <w:pPr>
              <w:pStyle w:val="25"/>
              <w:numPr>
                <w:ilvl w:val="0"/>
                <w:numId w:val="3"/>
              </w:numPr>
              <w:tabs>
                <w:tab w:val="left" w:pos="723"/>
              </w:tabs>
              <w:spacing w:before="6" w:line="276" w:lineRule="auto"/>
              <w:ind w:left="722" w:hanging="615"/>
              <w:rPr>
                <w:color w:val="auto"/>
                <w:sz w:val="21"/>
                <w:szCs w:val="21"/>
                <w:highlight w:val="none"/>
              </w:rPr>
            </w:pPr>
            <w:r>
              <w:rPr>
                <w:rFonts w:hint="eastAsia"/>
                <w:color w:val="auto"/>
                <w:sz w:val="21"/>
                <w:szCs w:val="21"/>
                <w:highlight w:val="none"/>
              </w:rPr>
              <w:t>如有不明确或不一致，构成合同文件组成内</w:t>
            </w:r>
          </w:p>
          <w:p>
            <w:pPr>
              <w:pStyle w:val="25"/>
              <w:spacing w:line="276" w:lineRule="auto"/>
              <w:ind w:left="108"/>
              <w:rPr>
                <w:color w:val="auto"/>
                <w:sz w:val="21"/>
                <w:szCs w:val="21"/>
                <w:highlight w:val="none"/>
              </w:rPr>
            </w:pPr>
            <w:r>
              <w:rPr>
                <w:rFonts w:hint="eastAsia"/>
                <w:color w:val="auto"/>
                <w:sz w:val="21"/>
                <w:szCs w:val="21"/>
                <w:highlight w:val="none"/>
              </w:rPr>
              <w:t>容的，以合同文件约定内容为准，且以专用合同条款约定的合同文件优先顺序解释；</w:t>
            </w:r>
          </w:p>
          <w:p>
            <w:pPr>
              <w:pStyle w:val="25"/>
              <w:numPr>
                <w:ilvl w:val="0"/>
                <w:numId w:val="4"/>
              </w:numPr>
              <w:tabs>
                <w:tab w:val="left" w:pos="723"/>
              </w:tabs>
              <w:spacing w:before="160" w:line="276" w:lineRule="auto"/>
              <w:ind w:right="90" w:firstLine="0"/>
              <w:rPr>
                <w:color w:val="auto"/>
                <w:sz w:val="21"/>
                <w:szCs w:val="21"/>
                <w:highlight w:val="none"/>
              </w:rPr>
            </w:pPr>
            <w:r>
              <w:rPr>
                <w:rFonts w:hint="eastAsia"/>
                <w:color w:val="auto"/>
                <w:sz w:val="21"/>
                <w:szCs w:val="21"/>
                <w:highlight w:val="none"/>
              </w:rPr>
              <w:t>除磋商文件中有特别规定外，仅适用于磋商及响应文件提交阶段的规定，按磋商公告、供应商须知、评审方法和标准、响应文件格式的先后顺序解释；</w:t>
            </w:r>
          </w:p>
          <w:p>
            <w:pPr>
              <w:pStyle w:val="25"/>
              <w:numPr>
                <w:ilvl w:val="0"/>
                <w:numId w:val="4"/>
              </w:numPr>
              <w:tabs>
                <w:tab w:val="left" w:pos="723"/>
              </w:tabs>
              <w:spacing w:line="276" w:lineRule="auto"/>
              <w:ind w:left="722"/>
              <w:rPr>
                <w:color w:val="auto"/>
                <w:sz w:val="21"/>
                <w:szCs w:val="21"/>
                <w:highlight w:val="none"/>
              </w:rPr>
            </w:pPr>
            <w:r>
              <w:rPr>
                <w:rFonts w:hint="eastAsia"/>
                <w:color w:val="auto"/>
                <w:sz w:val="21"/>
                <w:szCs w:val="21"/>
                <w:highlight w:val="none"/>
              </w:rPr>
              <w:t>按本款前述规定仍不能形成结论的，由采购人负责解释。</w:t>
            </w:r>
          </w:p>
          <w:p>
            <w:pPr>
              <w:pStyle w:val="25"/>
              <w:numPr>
                <w:ilvl w:val="0"/>
                <w:numId w:val="4"/>
              </w:numPr>
              <w:tabs>
                <w:tab w:val="left" w:pos="723"/>
              </w:tabs>
              <w:spacing w:line="276" w:lineRule="auto"/>
              <w:ind w:left="722"/>
              <w:rPr>
                <w:color w:val="auto"/>
                <w:sz w:val="21"/>
                <w:szCs w:val="21"/>
                <w:highlight w:val="none"/>
              </w:rPr>
            </w:pPr>
            <w:r>
              <w:rPr>
                <w:rFonts w:hint="eastAsia"/>
                <w:color w:val="auto"/>
                <w:sz w:val="21"/>
                <w:szCs w:val="21"/>
                <w:highlight w:val="none"/>
                <w:lang w:val="en-US"/>
              </w:rPr>
              <w:t>本竞争性磋商文件的最终解释权归采购人所有。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noWrap w:val="0"/>
            <w:vAlign w:val="center"/>
          </w:tcPr>
          <w:p>
            <w:pPr>
              <w:pStyle w:val="25"/>
              <w:spacing w:before="19" w:line="360" w:lineRule="auto"/>
              <w:jc w:val="center"/>
              <w:rPr>
                <w:color w:val="auto"/>
                <w:sz w:val="21"/>
                <w:szCs w:val="21"/>
                <w:highlight w:val="none"/>
                <w:lang w:eastAsia="en-US"/>
              </w:rPr>
            </w:pPr>
            <w:r>
              <w:rPr>
                <w:rFonts w:hint="eastAsia"/>
                <w:color w:val="auto"/>
                <w:sz w:val="21"/>
                <w:szCs w:val="21"/>
                <w:highlight w:val="none"/>
                <w:lang w:val="en-US"/>
              </w:rPr>
              <w:t>2</w:t>
            </w:r>
            <w:r>
              <w:rPr>
                <w:rFonts w:hint="eastAsia"/>
                <w:color w:val="auto"/>
                <w:sz w:val="21"/>
                <w:szCs w:val="21"/>
                <w:highlight w:val="none"/>
                <w:lang w:eastAsia="en-US"/>
              </w:rPr>
              <w:t>6</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其他补充说明</w:t>
            </w:r>
          </w:p>
        </w:tc>
        <w:tc>
          <w:tcPr>
            <w:tcW w:w="5468" w:type="dxa"/>
            <w:noWrap w:val="0"/>
            <w:vAlign w:val="center"/>
          </w:tcPr>
          <w:p>
            <w:pPr>
              <w:pStyle w:val="25"/>
              <w:tabs>
                <w:tab w:val="left" w:pos="710"/>
              </w:tabs>
              <w:spacing w:line="360" w:lineRule="auto"/>
              <w:ind w:left="108" w:right="-29"/>
              <w:rPr>
                <w:color w:val="auto"/>
                <w:sz w:val="21"/>
                <w:szCs w:val="21"/>
                <w:highlight w:val="none"/>
              </w:rPr>
            </w:pPr>
            <w:r>
              <w:rPr>
                <w:rFonts w:hint="eastAsia"/>
                <w:color w:val="auto"/>
                <w:sz w:val="21"/>
                <w:szCs w:val="21"/>
                <w:highlight w:val="none"/>
                <w:lang w:val="en-US"/>
              </w:rPr>
              <w:t>无</w:t>
            </w:r>
            <w:r>
              <w:rPr>
                <w:rFonts w:hint="eastAsia"/>
                <w:color w:val="auto"/>
                <w:sz w:val="21"/>
                <w:szCs w:val="21"/>
                <w:highlight w:val="none"/>
              </w:rPr>
              <w:t>效标条款：</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1）串通响应或弄虚作假或有其他违法行为的。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串通响应行为是指：</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（a）不同供应商的响应文件内容存在非正常一致的；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（b）不同供应商的响应报价或报价组成异常一致或呈规律性变化的；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（c）不同供应商委托同一人响应；</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（d）不同供应商的响应文件载明的项目管理班子成员出现同一人的；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（e）不同供应商的响应文件相互混装的；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（f）不同供应商的响应文件由同一单位或同一人编制的；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（g）不同供应商聘请同一人或同一中介机构为其响应提供技术或经济咨询服务的；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2）逾期送达的响应文件；</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3）供应商未依时提交磋商保证金或金额不足的；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4）响应文件有关内容未按规定加盖供应商印章或未经法定代表人或其委托代理人签 字或盖章的；由委托代理人签字或盖章的，但未随响应文件一起提交有效的“授权委托书”原件的；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5）响应文件份数、装订、密封和标记不符合竞争性磋商文件要求的；响应文件未胶装的。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6）供应商在一份响应文件中，报有两个或多个报价，且未书面声明以哪个报价为准；</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7）不按磋商小组要求澄清、说明或补正的。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8） 响应文件中的报价表及其它内容相应位置处没有签字、盖章的。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9）响应文件中响应报价、服务期或其它实质性要求不能满足竞争性磋商文件要求,或作出的承诺与竞争性磋商文件中提供的磋商申请及声明样本中相关内容相抵触或有遗漏的。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10）未按规定的格式填写，实质性内容不全或关键字迹模糊、无法辨认的。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11） 供应商递交两份或多份内容不同的响应文件；。</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12）响应报价高于最高响应上限的。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13）响应文件中存在采购人不能接受的其它实质性条件。</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14）法律、法规规定的其它情形。</w:t>
            </w:r>
          </w:p>
        </w:tc>
      </w:tr>
    </w:tbl>
    <w:p>
      <w:pPr>
        <w:pStyle w:val="3"/>
        <w:spacing w:before="9" w:line="360" w:lineRule="auto"/>
        <w:rPr>
          <w:color w:val="auto"/>
          <w:sz w:val="21"/>
          <w:szCs w:val="21"/>
          <w:highlight w:val="none"/>
        </w:rPr>
      </w:pPr>
    </w:p>
    <w:p>
      <w:pPr>
        <w:spacing w:line="360" w:lineRule="auto"/>
        <w:rPr>
          <w:rFonts w:ascii="宋体" w:hAnsi="宋体"/>
          <w:color w:val="auto"/>
          <w:highlight w:val="none"/>
        </w:rPr>
        <w:sectPr>
          <w:footerReference r:id="rId3" w:type="default"/>
          <w:pgSz w:w="11910" w:h="16850"/>
          <w:pgMar w:top="1400" w:right="1240" w:bottom="1460" w:left="1240" w:header="877" w:footer="1266" w:gutter="0"/>
          <w:pgBorders>
            <w:top w:val="none" w:sz="0" w:space="0"/>
            <w:left w:val="none" w:sz="0" w:space="0"/>
            <w:bottom w:val="none" w:sz="0" w:space="0"/>
            <w:right w:val="none" w:sz="0" w:space="0"/>
          </w:pgBorders>
          <w:pgNumType w:start="1"/>
          <w:cols w:space="720" w:num="1"/>
        </w:sectPr>
      </w:pPr>
    </w:p>
    <w:p>
      <w:pPr>
        <w:pStyle w:val="5"/>
        <w:spacing w:before="20" w:after="20" w:line="360" w:lineRule="auto"/>
        <w:jc w:val="center"/>
        <w:rPr>
          <w:rFonts w:ascii="宋体" w:hAnsi="宋体" w:eastAsia="宋体" w:cs="宋体"/>
          <w:color w:val="auto"/>
          <w:highlight w:val="none"/>
        </w:rPr>
      </w:pPr>
      <w:bookmarkStart w:id="44" w:name="_Toc1031"/>
      <w:bookmarkStart w:id="45" w:name="_Toc17965"/>
      <w:bookmarkStart w:id="46" w:name="_Toc487461251"/>
      <w:bookmarkStart w:id="47" w:name="_Toc487641630"/>
      <w:r>
        <w:rPr>
          <w:rFonts w:hint="eastAsia" w:ascii="宋体" w:hAnsi="宋体" w:eastAsia="宋体" w:cs="宋体"/>
          <w:color w:val="auto"/>
          <w:highlight w:val="none"/>
        </w:rPr>
        <w:t>二、供应商须知</w:t>
      </w:r>
      <w:bookmarkEnd w:id="44"/>
      <w:bookmarkEnd w:id="45"/>
    </w:p>
    <w:p>
      <w:pPr>
        <w:pStyle w:val="6"/>
        <w:spacing w:before="20" w:after="20" w:line="360" w:lineRule="auto"/>
        <w:rPr>
          <w:rFonts w:hAnsi="宋体" w:cs="宋体"/>
          <w:color w:val="auto"/>
          <w:sz w:val="28"/>
          <w:szCs w:val="28"/>
          <w:highlight w:val="none"/>
        </w:rPr>
      </w:pPr>
      <w:bookmarkStart w:id="48" w:name="_Hlt509650126"/>
      <w:bookmarkEnd w:id="48"/>
      <w:bookmarkStart w:id="49" w:name="_Hlt509649722"/>
      <w:bookmarkEnd w:id="49"/>
      <w:bookmarkStart w:id="50" w:name="_Hlt526418143"/>
      <w:bookmarkEnd w:id="50"/>
      <w:bookmarkStart w:id="51" w:name="_Hlt509649998"/>
      <w:bookmarkEnd w:id="51"/>
      <w:bookmarkStart w:id="52" w:name="_Hlt509650686"/>
      <w:bookmarkEnd w:id="52"/>
      <w:bookmarkStart w:id="53" w:name="_Hlt509650955"/>
      <w:bookmarkEnd w:id="53"/>
      <w:bookmarkStart w:id="54" w:name="_Toc448070712"/>
      <w:bookmarkStart w:id="55" w:name="_Toc22351"/>
      <w:bookmarkStart w:id="56" w:name="_Toc23999"/>
      <w:bookmarkStart w:id="57" w:name="_Toc23974"/>
      <w:r>
        <w:rPr>
          <w:rFonts w:hint="eastAsia" w:hAnsi="宋体" w:cs="宋体"/>
          <w:color w:val="auto"/>
          <w:sz w:val="28"/>
          <w:szCs w:val="28"/>
          <w:highlight w:val="none"/>
        </w:rPr>
        <w:t>1．总  则</w:t>
      </w:r>
      <w:bookmarkEnd w:id="54"/>
      <w:bookmarkEnd w:id="55"/>
      <w:bookmarkEnd w:id="56"/>
      <w:bookmarkEnd w:id="57"/>
    </w:p>
    <w:p>
      <w:pPr>
        <w:spacing w:line="440" w:lineRule="exact"/>
        <w:rPr>
          <w:rFonts w:ascii="宋体" w:hAnsi="宋体" w:cs="宋体"/>
          <w:b/>
          <w:color w:val="auto"/>
          <w:sz w:val="24"/>
          <w:szCs w:val="24"/>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w:t>
      </w:r>
      <w:r>
        <w:rPr>
          <w:rFonts w:hint="eastAsia" w:ascii="宋体" w:hAnsi="宋体" w:cs="宋体"/>
          <w:b/>
          <w:color w:val="auto"/>
          <w:sz w:val="24"/>
          <w:szCs w:val="24"/>
          <w:highlight w:val="none"/>
        </w:rPr>
        <w:t>1.1项目概况</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1.1.1根据有关法律、法规和规章的规定，本采购项目已具备招标条件，现对本项目进行竞争性磋商。</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1.1.2本采购项目采购人：见供应商须知前附表。</w:t>
      </w:r>
    </w:p>
    <w:p>
      <w:pPr>
        <w:spacing w:line="440" w:lineRule="exact"/>
        <w:rPr>
          <w:rFonts w:ascii="宋体" w:hAnsi="宋体" w:cs="宋体"/>
          <w:b/>
          <w:bCs/>
          <w:color w:val="auto"/>
          <w:sz w:val="24"/>
          <w:szCs w:val="24"/>
          <w:highlight w:val="none"/>
        </w:rPr>
      </w:pPr>
      <w:r>
        <w:rPr>
          <w:rFonts w:hint="eastAsia" w:ascii="宋体" w:hAnsi="宋体" w:cs="宋体"/>
          <w:color w:val="auto"/>
          <w:sz w:val="24"/>
          <w:szCs w:val="24"/>
          <w:highlight w:val="none"/>
        </w:rPr>
        <w:t xml:space="preserve">    1.1.3本采购项目名称：见供应商须知前附表。</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1.1.4本采购项目供货地点：采购人指定的地方</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 xml:space="preserve"> 1.2资金来源和落实情况</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1.2.1本采购项目的资金来源：财政资金。</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1.2.2本采购项目的资金落实情况：已落实。</w:t>
      </w:r>
    </w:p>
    <w:p>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1.3采购范围、最高响应上限、标段、供货期限和质量要求</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1.3.1本次采购范围：见供应商须知前附表。</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1.3.2最高投标上限：见供应商须知前附表说明。</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1.3.3 本采购项目的标段划分：见供应商须知前附表。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1.3.4 本采购项目的供货期限：见供应商须知前附表。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1.3.5 本采购项目的质量要求：见供应商须知前附表。</w:t>
      </w:r>
    </w:p>
    <w:p>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 1.4供应商资格要求</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1.4.1 本项目资格、能力及信誉：见供应商须知前附表。</w:t>
      </w:r>
    </w:p>
    <w:p>
      <w:pPr>
        <w:spacing w:line="440" w:lineRule="exact"/>
        <w:ind w:firstLine="487" w:firstLineChars="203"/>
        <w:rPr>
          <w:rFonts w:ascii="宋体" w:hAnsi="宋体" w:cs="宋体"/>
          <w:color w:val="auto"/>
          <w:sz w:val="24"/>
          <w:szCs w:val="24"/>
          <w:highlight w:val="none"/>
        </w:rPr>
      </w:pPr>
      <w:r>
        <w:rPr>
          <w:rFonts w:hint="eastAsia" w:ascii="宋体" w:hAnsi="宋体" w:cs="宋体"/>
          <w:color w:val="auto"/>
          <w:sz w:val="24"/>
          <w:szCs w:val="24"/>
          <w:highlight w:val="none"/>
        </w:rPr>
        <w:t>1.4.2本项目是否接受联合体：见供应商须知前附表。</w:t>
      </w:r>
    </w:p>
    <w:p>
      <w:pPr>
        <w:spacing w:line="440" w:lineRule="exact"/>
        <w:ind w:firstLine="473" w:firstLineChars="203"/>
        <w:rPr>
          <w:rFonts w:ascii="宋体" w:hAnsi="宋体" w:cs="宋体"/>
          <w:b/>
          <w:bCs/>
          <w:color w:val="auto"/>
          <w:spacing w:val="-4"/>
          <w:kern w:val="0"/>
          <w:sz w:val="24"/>
          <w:szCs w:val="24"/>
          <w:highlight w:val="none"/>
        </w:rPr>
      </w:pPr>
      <w:r>
        <w:rPr>
          <w:rFonts w:hint="eastAsia" w:ascii="宋体" w:hAnsi="宋体" w:cs="宋体"/>
          <w:b/>
          <w:bCs/>
          <w:color w:val="auto"/>
          <w:spacing w:val="-4"/>
          <w:kern w:val="0"/>
          <w:sz w:val="24"/>
          <w:szCs w:val="24"/>
          <w:highlight w:val="none"/>
        </w:rPr>
        <w:t>1.4.3供应商不得存在下列情形之一：</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(1)法定代表人（负责人）为同一人。</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(2)为本项目前期准备提供设计或咨询服务的。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(3)为本项目的代建人。</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(4)为本项目提供招标代理服务的。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(5)与本项目的代建人或采购代理机构同为一个法定代表人（负责人）的。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(6)与本项目的代建人或采购代理机构相互控股或参股的。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(7)与本项目的代建人或采购代理机构相互任职或工作的。</w:t>
      </w:r>
    </w:p>
    <w:p>
      <w:pPr>
        <w:tabs>
          <w:tab w:val="left" w:pos="7560"/>
        </w:tabs>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(8)被责令停业的。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(9)被暂停或取消响应资格的。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(10)财产被接管或冻结的。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(11)在最近三年内有严重违约或重大工程质量问题的。</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1.5费用承担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供应商是否愿意参与本次响应活动完全是自主决定的，应自行承担与参加本次响应活动有关的一切费用。不论响应的结果如何，在任何情况下，采购人均无义务和责任承担这些费用。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供应商应承担下述费用：供应商准备和参加响应活动发生的一切费用。</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1.6保密</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参与采购响应活动的各方应对竞争性磋商文件和响应文件中的商业和技术等秘密保密，违者应对由此造成的后果承担法律责任。</w:t>
      </w:r>
    </w:p>
    <w:p>
      <w:pPr>
        <w:spacing w:line="440" w:lineRule="exact"/>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1.7语言文字</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响应文件使用的语言文字均须为中文，专用术语使用外文的，应附有中文注释。</w:t>
      </w:r>
    </w:p>
    <w:p>
      <w:pPr>
        <w:spacing w:line="440" w:lineRule="exact"/>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1.8计量单位</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pPr>
        <w:spacing w:line="440" w:lineRule="exact"/>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1.9踏勘现场</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本项目不组织踏勘现场。但供应商有必要自行踏勘现场，以便于更好的熟悉采购内容，更好的结合现场实际情况编制响应文件。</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1.10响应预备会</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本项目不组织召开响应预备会。</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1.11分包</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本项目不允许分包。</w:t>
      </w:r>
    </w:p>
    <w:p>
      <w:pPr>
        <w:spacing w:line="440" w:lineRule="exact"/>
        <w:ind w:firstLine="542" w:firstLineChars="225"/>
        <w:rPr>
          <w:rFonts w:ascii="宋体" w:hAnsi="宋体" w:cs="宋体"/>
          <w:color w:val="auto"/>
          <w:highlight w:val="none"/>
        </w:rPr>
      </w:pPr>
      <w:r>
        <w:rPr>
          <w:rFonts w:hint="eastAsia" w:ascii="宋体" w:hAnsi="宋体" w:cs="宋体"/>
          <w:b/>
          <w:color w:val="auto"/>
          <w:sz w:val="24"/>
          <w:szCs w:val="24"/>
          <w:highlight w:val="none"/>
        </w:rPr>
        <w:t>1．12</w:t>
      </w:r>
      <w:r>
        <w:rPr>
          <w:rFonts w:hint="eastAsia" w:ascii="宋体" w:hAnsi="宋体" w:cs="宋体"/>
          <w:color w:val="auto"/>
          <w:sz w:val="24"/>
          <w:szCs w:val="24"/>
          <w:highlight w:val="none"/>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pPr>
        <w:pStyle w:val="6"/>
        <w:spacing w:before="20" w:after="20" w:line="360" w:lineRule="auto"/>
        <w:rPr>
          <w:rFonts w:hAnsi="宋体" w:cs="宋体"/>
          <w:color w:val="auto"/>
          <w:sz w:val="28"/>
          <w:szCs w:val="28"/>
          <w:highlight w:val="none"/>
        </w:rPr>
      </w:pPr>
      <w:bookmarkStart w:id="58" w:name="_Toc25505"/>
      <w:bookmarkStart w:id="59" w:name="_Toc22226"/>
      <w:bookmarkStart w:id="60" w:name="_Toc448070713"/>
      <w:bookmarkStart w:id="61" w:name="_Toc3582"/>
      <w:r>
        <w:rPr>
          <w:rFonts w:hint="eastAsia" w:hAnsi="宋体" w:cs="宋体"/>
          <w:color w:val="auto"/>
          <w:sz w:val="28"/>
          <w:szCs w:val="28"/>
          <w:highlight w:val="none"/>
        </w:rPr>
        <w:t>2．竞争性磋商文件</w:t>
      </w:r>
      <w:bookmarkEnd w:id="58"/>
      <w:bookmarkEnd w:id="59"/>
      <w:bookmarkEnd w:id="60"/>
      <w:bookmarkEnd w:id="61"/>
    </w:p>
    <w:p>
      <w:pPr>
        <w:spacing w:line="440" w:lineRule="exact"/>
        <w:rPr>
          <w:rFonts w:ascii="宋体" w:hAnsi="宋体" w:cs="宋体"/>
          <w:b/>
          <w:color w:val="auto"/>
          <w:sz w:val="24"/>
          <w:szCs w:val="24"/>
          <w:highlight w:val="none"/>
        </w:rPr>
      </w:pPr>
      <w:r>
        <w:rPr>
          <w:rFonts w:hint="eastAsia" w:ascii="宋体" w:hAnsi="宋体" w:cs="宋体"/>
          <w:color w:val="auto"/>
          <w:highlight w:val="none"/>
        </w:rPr>
        <w:t xml:space="preserve">   </w:t>
      </w: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2.1竞争性磋商文件的组成</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竞争性磋商文件包括：</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(1）竞争性磋商公告 </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(2）供应商须知</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(3）采购需求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(4）评审方法和标准</w:t>
      </w:r>
    </w:p>
    <w:p>
      <w:pPr>
        <w:pStyle w:val="29"/>
        <w:tabs>
          <w:tab w:val="right" w:leader="dot" w:pos="943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(5）政府采购合同</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（6）响应文件格式</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根据本章第2.2 条和第2.3条对竞争性磋商文件所作的澄清、修改，构成竞争性磋商文件的组成部分。</w:t>
      </w:r>
    </w:p>
    <w:p>
      <w:pPr>
        <w:spacing w:line="440" w:lineRule="exact"/>
        <w:ind w:firstLine="540"/>
        <w:rPr>
          <w:rFonts w:ascii="宋体" w:hAnsi="宋体" w:cs="宋体"/>
          <w:b/>
          <w:color w:val="auto"/>
          <w:sz w:val="24"/>
          <w:szCs w:val="24"/>
          <w:highlight w:val="none"/>
        </w:rPr>
      </w:pPr>
      <w:r>
        <w:rPr>
          <w:rFonts w:hint="eastAsia" w:ascii="宋体" w:hAnsi="宋体" w:cs="宋体"/>
          <w:b/>
          <w:color w:val="auto"/>
          <w:sz w:val="24"/>
          <w:szCs w:val="24"/>
          <w:highlight w:val="none"/>
        </w:rPr>
        <w:t>2.2竞争性磋商文件的澄清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2.2.2竞争性磋商文件的澄清在响应截止时间5天前，以网上公布方式发布给所有潜在的供应商。如果澄清发出的时间距响应截止时间不足5天，可能影响响应文件编制的，相应推迟响应截止时间。</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2.2.3所有领取竞争性磋商文件的供应商有义务在《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》网站上自行查询资料，无需以书面形式回复。采购代理机构将不再另行通知各供应商。供应商对竞争性磋商文件的澄清、修改未能及时查询的，由此引起的一切责任均由供应商自行负责。</w:t>
      </w:r>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2.3竞争性磋商文件的修改</w:t>
      </w:r>
    </w:p>
    <w:p>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2.3.1采购人对已发出的竞争性磋商文件进行的必要澄清或者修改的内容可能影响磋商响应文件编制的,应在响应截止5日前，在《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》网站上发布，距响应截止时间不足5日的，相应延长响应截止时间。</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在响应截止日期前，无论出于何种原因，采购人可主动地或在解答供应商要求澄清的问题时对竞争性磋商文件进行修改。</w:t>
      </w:r>
    </w:p>
    <w:p>
      <w:pPr>
        <w:spacing w:line="440" w:lineRule="exact"/>
        <w:ind w:firstLine="43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2.3.2采购人对供应商提出异议的答复将在《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》网站上发布，但不指明澄清问题的来源。供应商自行在《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》网站上查询，无需确认。</w:t>
      </w:r>
    </w:p>
    <w:p>
      <w:pPr>
        <w:spacing w:line="44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2.3.3当竞争性磋商文件的澄清、修改、补充等在同一内容的表述上不一致时，以最后发出的为准。</w:t>
      </w:r>
      <w:r>
        <w:rPr>
          <w:rFonts w:hint="eastAsia" w:ascii="宋体" w:hAnsi="宋体" w:cs="宋体"/>
          <w:color w:val="auto"/>
          <w:sz w:val="24"/>
          <w:highlight w:val="none"/>
        </w:rPr>
        <w:t>为使供应商在准备磋商响应文件时，有充足的时间对竞争性磋商文件的修改进行研究考虑，采购方可自行决定，酌情推迟响应截止日期。</w:t>
      </w:r>
    </w:p>
    <w:p>
      <w:pPr>
        <w:pStyle w:val="6"/>
        <w:spacing w:before="20" w:after="20" w:line="360" w:lineRule="auto"/>
        <w:rPr>
          <w:rFonts w:hAnsi="宋体" w:cs="宋体"/>
          <w:color w:val="auto"/>
          <w:sz w:val="28"/>
          <w:szCs w:val="28"/>
          <w:highlight w:val="none"/>
        </w:rPr>
      </w:pPr>
      <w:bookmarkStart w:id="62" w:name="_Toc448070714"/>
      <w:bookmarkStart w:id="63" w:name="_Toc4534"/>
      <w:bookmarkStart w:id="64" w:name="_Toc21962"/>
      <w:bookmarkStart w:id="65" w:name="_Toc27516"/>
      <w:r>
        <w:rPr>
          <w:rFonts w:hint="eastAsia" w:hAnsi="宋体" w:cs="宋体"/>
          <w:color w:val="auto"/>
          <w:sz w:val="28"/>
          <w:szCs w:val="28"/>
          <w:highlight w:val="none"/>
        </w:rPr>
        <w:t>3．响应文件</w:t>
      </w:r>
      <w:bookmarkEnd w:id="62"/>
      <w:bookmarkEnd w:id="63"/>
      <w:bookmarkEnd w:id="64"/>
      <w:bookmarkEnd w:id="65"/>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3.1响应文件的组成</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响应文件应包括下列内容：</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见响应文件格式</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3.2响应报价</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3.2.1供应商应按竞争性磋商文件的格式要求填写相应表格。</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3.2.2供应商应在响应文件中注明拟提供服务的单价明细和总价。</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3.2.3报价内容包括完成本项目采购需求的全部费用。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3.2.4供应商在响应截止时间前修改响应报价表中的响应总报价，应同时修改报价清单中相应报价。</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3.2.5除非竞争性磋商文件另有规定，每一包只允许有一个响应报价，任何有选择的报价或替代方案将导致响应无效。</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3.2.6采购人不建议供应商采用总价优惠或以总价百分比优惠的方式进行响应报价，其优惠可直接计算并体现在各项响应报价的单价中。</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3.2.7除政策性文件规定以外，供应商所报价格在合同实施期间不因市场变化因素而变动。</w:t>
      </w:r>
    </w:p>
    <w:p>
      <w:pPr>
        <w:spacing w:line="440" w:lineRule="exact"/>
        <w:ind w:firstLine="360" w:firstLineChars="15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3.3响应有效期</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 在供应商须知前附表规定的响应有效期内，供应商不得要求撤销或修改其响应文件。</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 出现特殊情况需要延长响应有效期的，将以书面形式通知所有供应商延长响应有效期。供应商同意延长的，不得要求或被允许修改或撤销其响应文件；供应商拒绝延长的，其响应失效。</w:t>
      </w:r>
    </w:p>
    <w:p>
      <w:pPr>
        <w:spacing w:line="440" w:lineRule="exact"/>
        <w:ind w:firstLine="361" w:firstLineChars="150"/>
        <w:rPr>
          <w:rFonts w:ascii="宋体" w:hAnsi="宋体" w:cs="宋体"/>
          <w:b/>
          <w:color w:val="auto"/>
          <w:sz w:val="24"/>
          <w:szCs w:val="24"/>
          <w:highlight w:val="none"/>
        </w:rPr>
      </w:pPr>
      <w:bookmarkStart w:id="66" w:name="_Toc395801966"/>
      <w:bookmarkStart w:id="67" w:name="_Toc416271404"/>
      <w:bookmarkStart w:id="68" w:name="_Toc29145223"/>
      <w:bookmarkStart w:id="69" w:name="_Toc416271933"/>
      <w:bookmarkStart w:id="70" w:name="_Toc422395147"/>
      <w:r>
        <w:rPr>
          <w:rFonts w:hint="eastAsia" w:ascii="宋体" w:hAnsi="宋体" w:cs="宋体"/>
          <w:b/>
          <w:color w:val="auto"/>
          <w:sz w:val="24"/>
          <w:szCs w:val="24"/>
          <w:highlight w:val="none"/>
        </w:rPr>
        <w:t>3.4 磋商保证金</w:t>
      </w:r>
      <w:bookmarkEnd w:id="66"/>
      <w:bookmarkEnd w:id="67"/>
      <w:bookmarkEnd w:id="68"/>
      <w:bookmarkEnd w:id="69"/>
      <w:bookmarkEnd w:id="70"/>
    </w:p>
    <w:p>
      <w:pPr>
        <w:pStyle w:val="23"/>
        <w:rPr>
          <w:bCs/>
          <w:color w:val="auto"/>
          <w:highlight w:val="none"/>
          <w:lang w:val="en-US"/>
        </w:rPr>
      </w:pPr>
      <w:r>
        <w:rPr>
          <w:rFonts w:hint="eastAsia" w:ascii="宋体" w:hAnsi="宋体" w:cs="宋体"/>
          <w:bCs/>
          <w:color w:val="auto"/>
          <w:sz w:val="24"/>
          <w:szCs w:val="24"/>
          <w:highlight w:val="none"/>
          <w:lang w:val="en-US"/>
        </w:rPr>
        <w:t>见供应商须知前附表</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3.4 备选响应方案</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本项目不接受备选响应方案。</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3.5响应文件的编制和标记</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 响应文件必须按文件规定的序号或顺序编制，响应文件一律胶装。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 供应商应认真阅读竞争性磋商文件中所有的事项、格式、条件、条款和规范等要求。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3.5.4除非有特殊要求，竞争性磋商文件不单独提供采购货物使用地的自然环境、气候条件、公用设施等情况，供应商被视为熟悉上述与履行合同有关的一切情况。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 响应文件必须对竞争性磋商文件有关供货期限、响应有效期、质量要求、技术标准和要求、采购范围、人员配备等实质性内容作出响应。</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pPr>
        <w:spacing w:line="440" w:lineRule="exact"/>
        <w:ind w:firstLine="480" w:firstLineChars="200"/>
        <w:rPr>
          <w:rFonts w:ascii="宋体" w:hAnsi="宋体" w:cs="宋体"/>
          <w:b/>
          <w:color w:val="auto"/>
          <w:sz w:val="24"/>
          <w:szCs w:val="24"/>
          <w:highlight w:val="none"/>
          <w:u w:val="double"/>
        </w:rPr>
      </w:pPr>
      <w:r>
        <w:rPr>
          <w:rFonts w:hint="eastAsia" w:ascii="宋体" w:hAnsi="宋体" w:cs="宋体"/>
          <w:color w:val="auto"/>
          <w:sz w:val="24"/>
          <w:szCs w:val="24"/>
          <w:highlight w:val="none"/>
        </w:rPr>
        <w:t>3.5.7响应文件分，</w:t>
      </w:r>
      <w:r>
        <w:rPr>
          <w:rFonts w:hint="eastAsia" w:ascii="宋体" w:hAnsi="宋体" w:cs="宋体"/>
          <w:b/>
          <w:color w:val="auto"/>
          <w:sz w:val="24"/>
          <w:szCs w:val="24"/>
          <w:highlight w:val="none"/>
          <w:u w:val="single"/>
        </w:rPr>
        <w:t>正本壹份、副本贰份，电子版（U盘）文件一份</w:t>
      </w:r>
      <w:r>
        <w:rPr>
          <w:rFonts w:hint="eastAsia" w:ascii="宋体" w:hAnsi="宋体" w:cs="宋体"/>
          <w:b/>
          <w:color w:val="auto"/>
          <w:sz w:val="24"/>
          <w:szCs w:val="24"/>
          <w:highlight w:val="none"/>
        </w:rPr>
        <w:t>。</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3.5.8响应文件的正本与副本应分别装订成册。</w:t>
      </w:r>
    </w:p>
    <w:p>
      <w:pPr>
        <w:pStyle w:val="6"/>
        <w:spacing w:before="20" w:after="20" w:line="360" w:lineRule="auto"/>
        <w:rPr>
          <w:rFonts w:hAnsi="宋体" w:cs="宋体"/>
          <w:color w:val="auto"/>
          <w:sz w:val="28"/>
          <w:szCs w:val="28"/>
          <w:highlight w:val="none"/>
        </w:rPr>
      </w:pPr>
      <w:bookmarkStart w:id="71" w:name="_Toc12243"/>
      <w:bookmarkStart w:id="72" w:name="_Toc448070715"/>
      <w:bookmarkStart w:id="73" w:name="_Toc32318"/>
      <w:bookmarkStart w:id="74" w:name="_Toc32015"/>
      <w:r>
        <w:rPr>
          <w:rFonts w:hint="eastAsia" w:hAnsi="宋体" w:cs="宋体"/>
          <w:color w:val="auto"/>
          <w:sz w:val="28"/>
          <w:szCs w:val="28"/>
          <w:highlight w:val="none"/>
        </w:rPr>
        <w:t>4．响应文件密封、递交</w:t>
      </w:r>
      <w:bookmarkEnd w:id="71"/>
      <w:bookmarkEnd w:id="72"/>
      <w:bookmarkEnd w:id="73"/>
      <w:bookmarkEnd w:id="74"/>
    </w:p>
    <w:p>
      <w:pPr>
        <w:pStyle w:val="7"/>
        <w:spacing w:before="0" w:after="0" w:line="400" w:lineRule="exact"/>
        <w:ind w:firstLine="482" w:firstLineChars="200"/>
        <w:rPr>
          <w:rFonts w:ascii="宋体" w:hAnsi="宋体" w:cs="宋体"/>
          <w:color w:val="auto"/>
          <w:sz w:val="24"/>
          <w:szCs w:val="24"/>
          <w:highlight w:val="none"/>
        </w:rPr>
      </w:pPr>
      <w:r>
        <w:rPr>
          <w:rFonts w:hint="eastAsia" w:ascii="宋体" w:hAnsi="宋体" w:cs="宋体"/>
          <w:color w:val="auto"/>
          <w:sz w:val="24"/>
          <w:szCs w:val="24"/>
          <w:highlight w:val="none"/>
        </w:rPr>
        <w:t>4.1 响应文件的密封和标记</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 响应文件的正本与副本集中或分开密封包装均可，加贴封条，并在封套的封口处加盖供应商单位章。</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采用分开包装的，响应文件的封套上应清楚地标记“正本”或“副本”字样，封套上应写明的其他内容见供应商须知前附表。</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4.1.3 未按本章第4.1.1项或第4.1.2项要求密封的响应文件，采购人不予受理。</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4.2响应文件的递交</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4.2.1 响应截止时间：见供应商须知前附表。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 供应商递交响应文件的地点：见供应商须知前附表。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4.2.3 逾期送达的或者未送达指定地点的响应文件，采购人不予受理。</w:t>
      </w:r>
    </w:p>
    <w:p>
      <w:pPr>
        <w:spacing w:line="440" w:lineRule="exact"/>
        <w:ind w:firstLine="465"/>
        <w:rPr>
          <w:rFonts w:ascii="宋体" w:hAnsi="宋体" w:cs="宋体"/>
          <w:b/>
          <w:color w:val="auto"/>
          <w:sz w:val="24"/>
          <w:szCs w:val="24"/>
          <w:highlight w:val="none"/>
        </w:rPr>
      </w:pPr>
      <w:r>
        <w:rPr>
          <w:rFonts w:hint="eastAsia" w:ascii="宋体" w:hAnsi="宋体" w:cs="宋体"/>
          <w:b/>
          <w:color w:val="auto"/>
          <w:sz w:val="24"/>
          <w:szCs w:val="24"/>
          <w:highlight w:val="none"/>
        </w:rPr>
        <w:t>4.3响应文件的修改与撤回</w:t>
      </w:r>
    </w:p>
    <w:p>
      <w:pPr>
        <w:spacing w:line="44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4.3.1供应商在递交响应文件后，可以修改或撤回其响应，但这种修改和撤回，必须在规定的响应截止日期前，并以书面形式通知。在响应截止时间后，供应商不得再要求修改或撤回其响应文件。</w:t>
      </w:r>
    </w:p>
    <w:p>
      <w:pPr>
        <w:spacing w:line="44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4.3.2 供应商的修改书或撤回通知书，应按规定进行编制、密封、标记和递交，且上标明“修改”或“撤回”字样。</w:t>
      </w:r>
    </w:p>
    <w:p>
      <w:pPr>
        <w:spacing w:line="440" w:lineRule="exact"/>
        <w:ind w:firstLine="465"/>
        <w:rPr>
          <w:rFonts w:ascii="宋体" w:hAnsi="宋体" w:cs="宋体"/>
          <w:color w:val="auto"/>
          <w:highlight w:val="none"/>
        </w:rPr>
      </w:pPr>
      <w:r>
        <w:rPr>
          <w:rFonts w:hint="eastAsia" w:ascii="宋体" w:hAnsi="宋体" w:cs="宋体"/>
          <w:color w:val="auto"/>
          <w:sz w:val="24"/>
          <w:szCs w:val="24"/>
          <w:highlight w:val="none"/>
        </w:rPr>
        <w:t>4.3.3在响应截止日期与竞争性磋商文件规定的有效期终止日之间的这段时间内，供应商不能撤回响应文件。</w:t>
      </w:r>
    </w:p>
    <w:p>
      <w:pPr>
        <w:pStyle w:val="6"/>
        <w:spacing w:before="20" w:after="20" w:line="360" w:lineRule="auto"/>
        <w:rPr>
          <w:rFonts w:hAnsi="宋体" w:cs="宋体"/>
          <w:color w:val="auto"/>
          <w:sz w:val="28"/>
          <w:szCs w:val="28"/>
          <w:highlight w:val="none"/>
        </w:rPr>
      </w:pPr>
      <w:r>
        <w:rPr>
          <w:rFonts w:hint="eastAsia" w:hAnsi="宋体" w:cs="宋体"/>
          <w:color w:val="auto"/>
          <w:sz w:val="28"/>
          <w:szCs w:val="28"/>
          <w:highlight w:val="none"/>
        </w:rPr>
        <w:t xml:space="preserve">    </w:t>
      </w:r>
      <w:bookmarkStart w:id="75" w:name="_Toc26630"/>
      <w:bookmarkStart w:id="76" w:name="_Toc448070716"/>
      <w:bookmarkStart w:id="77" w:name="_Toc28603"/>
      <w:bookmarkStart w:id="78" w:name="_Toc12916"/>
      <w:r>
        <w:rPr>
          <w:rFonts w:hint="eastAsia" w:hAnsi="宋体" w:cs="宋体"/>
          <w:color w:val="auto"/>
          <w:sz w:val="28"/>
          <w:szCs w:val="28"/>
          <w:highlight w:val="none"/>
        </w:rPr>
        <w:t>5．</w:t>
      </w:r>
      <w:bookmarkEnd w:id="75"/>
      <w:bookmarkEnd w:id="76"/>
      <w:r>
        <w:rPr>
          <w:rFonts w:hint="eastAsia" w:hAnsi="宋体" w:cs="宋体"/>
          <w:color w:val="auto"/>
          <w:sz w:val="28"/>
          <w:szCs w:val="28"/>
          <w:highlight w:val="none"/>
        </w:rPr>
        <w:t>磋商会</w:t>
      </w:r>
      <w:bookmarkEnd w:id="77"/>
      <w:bookmarkEnd w:id="78"/>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5.1磋商时间和地点</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将在供应商须知前附表规定的时间和地点进行磋商，并邀请所有供应商的法定代表人（负责人）或授权委托人准时参加磋商会。</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5.2磋商程序</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5.2.1主持人按下列程序召开磋商会：</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(l）采购人及监督人员到场情况。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(2）宣布磋商纪律。</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（3）公布在响应截止时间前递交响应文件的供应商名称。</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（4）由供应商代表检查各自响应文件的密封情况。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(5）宣布竞争性磋商顺序</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(6）磋商会议结束,进入磋商阶段；</w:t>
      </w:r>
    </w:p>
    <w:p>
      <w:pPr>
        <w:pStyle w:val="6"/>
        <w:spacing w:before="20" w:after="20" w:line="360" w:lineRule="auto"/>
        <w:rPr>
          <w:rFonts w:hAnsi="宋体" w:cs="宋体"/>
          <w:color w:val="auto"/>
          <w:sz w:val="28"/>
          <w:szCs w:val="28"/>
          <w:highlight w:val="none"/>
        </w:rPr>
      </w:pPr>
      <w:bookmarkStart w:id="79" w:name="_Hlt509649669"/>
      <w:bookmarkEnd w:id="79"/>
      <w:bookmarkStart w:id="80" w:name="_Hlt526418153"/>
      <w:bookmarkEnd w:id="80"/>
      <w:bookmarkStart w:id="81" w:name="_Hlt509650690"/>
      <w:bookmarkEnd w:id="81"/>
      <w:bookmarkStart w:id="82" w:name="_Hlt509649678"/>
      <w:bookmarkEnd w:id="82"/>
      <w:bookmarkStart w:id="83" w:name="_Hlt509650961"/>
      <w:bookmarkEnd w:id="83"/>
      <w:bookmarkStart w:id="84" w:name="_Hlt509650929"/>
      <w:bookmarkEnd w:id="84"/>
      <w:bookmarkStart w:id="85" w:name="_Hlt509650333"/>
      <w:bookmarkEnd w:id="85"/>
      <w:bookmarkStart w:id="86" w:name="_Hlt509649330"/>
      <w:bookmarkEnd w:id="86"/>
      <w:bookmarkStart w:id="87" w:name="_Hlt509649795"/>
      <w:bookmarkEnd w:id="87"/>
      <w:bookmarkStart w:id="88" w:name="_Hlt509650103"/>
      <w:bookmarkEnd w:id="88"/>
      <w:bookmarkStart w:id="89" w:name="_Hlt509650116"/>
      <w:bookmarkEnd w:id="89"/>
      <w:bookmarkStart w:id="90" w:name="_Hlt509649645"/>
      <w:bookmarkEnd w:id="90"/>
      <w:bookmarkStart w:id="91" w:name="_Hlt509650936"/>
      <w:bookmarkEnd w:id="91"/>
      <w:bookmarkStart w:id="92" w:name="_Hlt509650932"/>
      <w:bookmarkEnd w:id="92"/>
      <w:bookmarkStart w:id="93" w:name="_Toc448070717"/>
      <w:bookmarkStart w:id="94" w:name="_Toc7354"/>
      <w:bookmarkStart w:id="95" w:name="_Toc2552"/>
      <w:bookmarkStart w:id="96" w:name="_Toc25432"/>
      <w:r>
        <w:rPr>
          <w:rFonts w:hint="eastAsia" w:hAnsi="宋体" w:cs="宋体"/>
          <w:color w:val="auto"/>
          <w:sz w:val="28"/>
          <w:szCs w:val="28"/>
          <w:highlight w:val="none"/>
        </w:rPr>
        <w:t>6．</w:t>
      </w:r>
      <w:bookmarkEnd w:id="93"/>
      <w:bookmarkEnd w:id="94"/>
      <w:r>
        <w:rPr>
          <w:rFonts w:hint="eastAsia" w:hAnsi="宋体" w:cs="宋体"/>
          <w:color w:val="auto"/>
          <w:sz w:val="28"/>
          <w:szCs w:val="28"/>
          <w:highlight w:val="none"/>
        </w:rPr>
        <w:t>磋 商</w:t>
      </w:r>
      <w:bookmarkEnd w:id="95"/>
      <w:bookmarkEnd w:id="96"/>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6.1磋商小组</w:t>
      </w:r>
    </w:p>
    <w:p>
      <w:pPr>
        <w:pStyle w:val="18"/>
        <w:spacing w:before="0" w:beforeAutospacing="0" w:after="0" w:afterAutospacing="0" w:line="440" w:lineRule="exact"/>
        <w:ind w:firstLine="480" w:firstLineChars="200"/>
        <w:jc w:val="both"/>
        <w:rPr>
          <w:color w:val="auto"/>
          <w:highlight w:val="none"/>
        </w:rPr>
      </w:pPr>
      <w:r>
        <w:rPr>
          <w:rFonts w:hint="eastAsia"/>
          <w:color w:val="auto"/>
          <w:highlight w:val="none"/>
        </w:rPr>
        <w:t>6.1.1 磋商由采购人依法组建的磋商小组负责。磋商小组由采购人熟悉相关业务的代表，以及有关技术、经济等方面的专家组成。磋商小组成员人数3人及以上。磋商小组成员的名单在成交结果确定前应当保密。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6.1.2 有下列情形之一的，不得担任磋商小组成员：</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(1）供应商或供应商的主要负责人的近亲属。</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(2）与供应商有经济利益关系，可能影响对响应公正评审的。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(3）曾因在采购响应文件、评审以及其他与采购响应有关活动中从事违法行为而受过行政处罚或刑事处罚的。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磋商小组成员有前款情形之一的，应当主动提出回避。</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6.2磋商原则</w:t>
      </w:r>
    </w:p>
    <w:p>
      <w:pPr>
        <w:spacing w:line="44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磋商活动遵循公平、公正、科学和择优的原则。</w:t>
      </w:r>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6.3评审</w:t>
      </w:r>
    </w:p>
    <w:p>
      <w:pPr>
        <w:spacing w:line="440" w:lineRule="exact"/>
        <w:ind w:firstLine="435"/>
        <w:rPr>
          <w:rFonts w:ascii="宋体" w:hAnsi="宋体" w:cs="宋体"/>
          <w:color w:val="auto"/>
          <w:sz w:val="24"/>
          <w:szCs w:val="24"/>
          <w:highlight w:val="none"/>
        </w:rPr>
      </w:pPr>
      <w:r>
        <w:rPr>
          <w:rFonts w:hint="eastAsia" w:ascii="宋体" w:hAnsi="宋体" w:cs="宋体"/>
          <w:color w:val="auto"/>
          <w:sz w:val="24"/>
          <w:highlight w:val="none"/>
        </w:rPr>
        <w:t>磋商按照第三章“评审办法”规定的方法、评审因素、标准和程序对竞争性磋商响应文件进行评审。第三章“评审办法”没有规定的方法、评审因素和标准，不作为评审依据。</w:t>
      </w:r>
    </w:p>
    <w:p>
      <w:pPr>
        <w:pStyle w:val="6"/>
        <w:spacing w:before="20" w:after="20" w:line="360" w:lineRule="auto"/>
        <w:rPr>
          <w:rFonts w:hAnsi="宋体" w:cs="宋体"/>
          <w:color w:val="auto"/>
          <w:sz w:val="28"/>
          <w:szCs w:val="28"/>
          <w:highlight w:val="none"/>
        </w:rPr>
      </w:pPr>
      <w:bookmarkStart w:id="97" w:name="_Toc448070718"/>
      <w:bookmarkStart w:id="98" w:name="_Toc9575"/>
      <w:bookmarkStart w:id="99" w:name="_Toc24553"/>
      <w:bookmarkStart w:id="100" w:name="_Toc29526"/>
      <w:r>
        <w:rPr>
          <w:rFonts w:hint="eastAsia" w:hAnsi="宋体" w:cs="宋体"/>
          <w:color w:val="auto"/>
          <w:sz w:val="28"/>
          <w:szCs w:val="28"/>
          <w:highlight w:val="none"/>
        </w:rPr>
        <w:t>7．合同授予</w:t>
      </w:r>
      <w:bookmarkEnd w:id="97"/>
      <w:bookmarkEnd w:id="98"/>
      <w:bookmarkEnd w:id="99"/>
      <w:bookmarkEnd w:id="100"/>
    </w:p>
    <w:p>
      <w:pPr>
        <w:spacing w:line="46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 xml:space="preserve"> 7.1合同授予标准</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7.1.2成交公告</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成交公告将在《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》上公示。</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7.1.3磋商结束后根据需要，有可能对成交候选人进行实地考察。在考察过程中，发现有弄虚作假、业绩不实、挂靠、违法转包等行为的，取消其成交候选人资格。</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7.1.4最低报价并不是被授予合同的保证。</w:t>
      </w:r>
    </w:p>
    <w:p>
      <w:pPr>
        <w:spacing w:line="46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7.2成交通知书</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7.2.1在响应有效期满之前将以书面形式通知成交人，其响应已被接受。</w:t>
      </w:r>
    </w:p>
    <w:p>
      <w:pPr>
        <w:spacing w:line="440" w:lineRule="exact"/>
        <w:ind w:firstLine="549"/>
        <w:rPr>
          <w:rFonts w:ascii="宋体" w:hAnsi="宋体" w:cs="宋体"/>
          <w:b/>
          <w:color w:val="auto"/>
          <w:sz w:val="24"/>
          <w:szCs w:val="24"/>
          <w:highlight w:val="none"/>
        </w:rPr>
      </w:pPr>
      <w:r>
        <w:rPr>
          <w:rFonts w:hint="eastAsia" w:ascii="宋体" w:hAnsi="宋体" w:cs="宋体"/>
          <w:b/>
          <w:color w:val="auto"/>
          <w:sz w:val="24"/>
          <w:szCs w:val="24"/>
          <w:highlight w:val="none"/>
        </w:rPr>
        <w:t>7.2.2采购人将不对成交和未成交的原因作任何解释。</w:t>
      </w:r>
    </w:p>
    <w:p>
      <w:pPr>
        <w:spacing w:line="440" w:lineRule="exact"/>
        <w:ind w:firstLine="549"/>
        <w:rPr>
          <w:rFonts w:ascii="宋体" w:hAnsi="宋体" w:cs="宋体"/>
          <w:b/>
          <w:color w:val="auto"/>
          <w:sz w:val="24"/>
          <w:szCs w:val="24"/>
          <w:highlight w:val="none"/>
        </w:rPr>
      </w:pPr>
      <w:r>
        <w:rPr>
          <w:rFonts w:hint="eastAsia" w:ascii="宋体" w:hAnsi="宋体" w:cs="宋体"/>
          <w:b/>
          <w:color w:val="auto"/>
          <w:sz w:val="24"/>
          <w:szCs w:val="24"/>
          <w:highlight w:val="none"/>
        </w:rPr>
        <w:t>7.3签订合同</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pPr>
        <w:spacing w:line="440" w:lineRule="exact"/>
        <w:ind w:firstLine="549"/>
        <w:rPr>
          <w:rFonts w:ascii="宋体" w:hAnsi="宋体" w:cs="宋体"/>
          <w:bCs/>
          <w:color w:val="auto"/>
          <w:sz w:val="24"/>
          <w:szCs w:val="24"/>
          <w:highlight w:val="none"/>
        </w:rPr>
      </w:pPr>
      <w:r>
        <w:rPr>
          <w:rFonts w:hint="eastAsia" w:ascii="宋体" w:hAnsi="宋体" w:cs="宋体"/>
          <w:bCs/>
          <w:color w:val="auto"/>
          <w:sz w:val="24"/>
          <w:szCs w:val="24"/>
          <w:highlight w:val="none"/>
        </w:rPr>
        <w:t>7.3.2成交人在7.3.1规定的时间内无正当理由拒签合同的，采购人取消其成交资格；采购人有权将按照磋商小组提出的成交候选人名单排序依次确定其他成交候选人为成交人或者作出流标处理；</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7.3.3采购人保留以书面形式要求合同的卖方对其所投设备的装运方式、交货地点及服务等作适当调整的权利。卖方必须在接到买方的变更要求后及时根据本条款提出的调整内容做出同意与否的答复。</w:t>
      </w:r>
    </w:p>
    <w:p>
      <w:pPr>
        <w:spacing w:line="440" w:lineRule="exact"/>
        <w:ind w:firstLine="549"/>
        <w:rPr>
          <w:rFonts w:ascii="宋体" w:hAnsi="宋体" w:cs="宋体"/>
          <w:b/>
          <w:color w:val="auto"/>
          <w:sz w:val="24"/>
          <w:szCs w:val="24"/>
          <w:highlight w:val="none"/>
        </w:rPr>
      </w:pPr>
      <w:r>
        <w:rPr>
          <w:rFonts w:hint="eastAsia" w:ascii="宋体" w:hAnsi="宋体" w:cs="宋体"/>
          <w:b/>
          <w:color w:val="auto"/>
          <w:sz w:val="24"/>
          <w:szCs w:val="24"/>
          <w:highlight w:val="none"/>
        </w:rPr>
        <w:t>7.4履约保证金（本项目不启用）</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7.4.1成交人自收到成交通知书之日起5个工作日内向指定账户（成交人需自行与采购人联系，以获得交纳履约担保的账户信息）缴纳履约保证金，待合同履行完毕予以退还，不计利息。</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7.4.2如果成交人未按照竞争性磋商文件规定交纳有关费用及履约保证金，采购人有权取消该响应。在此情况下采购人可将该标授予其下一个成交候选人，或重新招标。</w:t>
      </w:r>
    </w:p>
    <w:p>
      <w:pPr>
        <w:pStyle w:val="6"/>
        <w:spacing w:before="20" w:after="20" w:line="360" w:lineRule="auto"/>
        <w:rPr>
          <w:rFonts w:hAnsi="宋体" w:cs="宋体"/>
          <w:color w:val="auto"/>
          <w:sz w:val="28"/>
          <w:szCs w:val="28"/>
          <w:highlight w:val="none"/>
        </w:rPr>
      </w:pPr>
      <w:bookmarkStart w:id="101" w:name="_Toc17002"/>
      <w:bookmarkStart w:id="102" w:name="_Toc18156"/>
      <w:bookmarkStart w:id="103" w:name="_Toc18742"/>
      <w:bookmarkStart w:id="104" w:name="_Toc448070719"/>
      <w:r>
        <w:rPr>
          <w:rFonts w:hint="eastAsia" w:hAnsi="宋体" w:cs="宋体"/>
          <w:color w:val="auto"/>
          <w:sz w:val="28"/>
          <w:szCs w:val="28"/>
          <w:highlight w:val="none"/>
        </w:rPr>
        <w:t>8．重新采购</w:t>
      </w:r>
      <w:bookmarkEnd w:id="101"/>
      <w:bookmarkEnd w:id="102"/>
      <w:bookmarkEnd w:id="103"/>
      <w:bookmarkEnd w:id="104"/>
    </w:p>
    <w:p>
      <w:pPr>
        <w:spacing w:line="440" w:lineRule="exact"/>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8.1重新采购</w:t>
      </w:r>
    </w:p>
    <w:p>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1、有下列情形之一的，将对该项目重新采购：</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(1)响应截止时，供应商少于3个的。</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(2)经磋商小组评审后否决所有响应的。</w:t>
      </w:r>
    </w:p>
    <w:p>
      <w:pPr>
        <w:pStyle w:val="6"/>
        <w:spacing w:before="20" w:after="20" w:line="360" w:lineRule="auto"/>
        <w:rPr>
          <w:rFonts w:hAnsi="宋体" w:cs="宋体"/>
          <w:color w:val="auto"/>
          <w:sz w:val="28"/>
          <w:szCs w:val="28"/>
          <w:highlight w:val="none"/>
        </w:rPr>
      </w:pPr>
      <w:r>
        <w:rPr>
          <w:rFonts w:hint="eastAsia" w:hAnsi="宋体" w:cs="宋体"/>
          <w:color w:val="auto"/>
          <w:sz w:val="28"/>
          <w:szCs w:val="28"/>
          <w:highlight w:val="none"/>
        </w:rPr>
        <w:t xml:space="preserve">   </w:t>
      </w:r>
      <w:bookmarkStart w:id="105" w:name="_Toc22868"/>
      <w:bookmarkStart w:id="106" w:name="_Toc10055"/>
      <w:r>
        <w:rPr>
          <w:rFonts w:hint="eastAsia" w:hAnsi="宋体" w:cs="宋体"/>
          <w:color w:val="auto"/>
          <w:sz w:val="28"/>
          <w:szCs w:val="28"/>
          <w:highlight w:val="none"/>
        </w:rPr>
        <w:t>9.知识产权</w:t>
      </w:r>
      <w:bookmarkEnd w:id="105"/>
      <w:bookmarkEnd w:id="106"/>
    </w:p>
    <w:p>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（2）响应报价应包含所有应向所有权人支付的专利权、商标权或其它知识产权的一切相关费用。</w:t>
      </w:r>
    </w:p>
    <w:p>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（3）系统软件、通用软件必须是具有在中国境内的合法使用权或版权的正版软件，涉及到第三方提出侵权或知识产权的起诉及支付版税等费用由供应商承担所有责任及费用。</w:t>
      </w:r>
    </w:p>
    <w:p>
      <w:pPr>
        <w:pStyle w:val="6"/>
        <w:spacing w:before="20" w:after="20" w:line="360" w:lineRule="auto"/>
        <w:rPr>
          <w:rFonts w:hAnsi="宋体" w:cs="宋体"/>
          <w:color w:val="auto"/>
          <w:sz w:val="28"/>
          <w:szCs w:val="28"/>
          <w:highlight w:val="none"/>
        </w:rPr>
      </w:pPr>
      <w:r>
        <w:rPr>
          <w:rFonts w:hint="eastAsia" w:hAnsi="宋体" w:cs="宋体"/>
          <w:color w:val="auto"/>
          <w:sz w:val="28"/>
          <w:szCs w:val="28"/>
          <w:highlight w:val="none"/>
        </w:rPr>
        <w:t xml:space="preserve">    </w:t>
      </w:r>
      <w:bookmarkStart w:id="107" w:name="_Toc23111"/>
      <w:bookmarkStart w:id="108" w:name="_Toc22291"/>
      <w:bookmarkStart w:id="109" w:name="_Toc448070720"/>
      <w:bookmarkStart w:id="110" w:name="_Toc17119"/>
      <w:r>
        <w:rPr>
          <w:rFonts w:hint="eastAsia" w:hAnsi="宋体" w:cs="宋体"/>
          <w:color w:val="auto"/>
          <w:sz w:val="28"/>
          <w:szCs w:val="28"/>
          <w:highlight w:val="none"/>
        </w:rPr>
        <w:t>10．纪律和监督</w:t>
      </w:r>
      <w:bookmarkEnd w:id="107"/>
      <w:bookmarkEnd w:id="108"/>
      <w:bookmarkEnd w:id="109"/>
      <w:bookmarkEnd w:id="110"/>
    </w:p>
    <w:p>
      <w:pPr>
        <w:spacing w:line="440" w:lineRule="exact"/>
        <w:ind w:firstLine="236" w:firstLineChars="98"/>
        <w:rPr>
          <w:rFonts w:ascii="宋体" w:hAnsi="宋体" w:cs="宋体"/>
          <w:color w:val="auto"/>
          <w:sz w:val="24"/>
          <w:szCs w:val="24"/>
          <w:highlight w:val="none"/>
        </w:rPr>
      </w:pPr>
      <w:r>
        <w:rPr>
          <w:rFonts w:hint="eastAsia" w:ascii="宋体" w:hAnsi="宋体" w:cs="宋体"/>
          <w:b/>
          <w:color w:val="auto"/>
          <w:sz w:val="24"/>
          <w:szCs w:val="24"/>
          <w:highlight w:val="none"/>
        </w:rPr>
        <w:t xml:space="preserve"> 10．1对采购人的纪律要求</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采购人不得泄漏采购响应活动中应当保密的情况和资料，不得与供应商串通损害国家利益、社会公共利益或者他人合法权益。</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10.2对供应商的纪律要求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pPr>
        <w:spacing w:line="440" w:lineRule="exact"/>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10.3对磋商小组成员的纪律要求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10.4对与磋商活动有关的工作人员的纪律要求</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pPr>
        <w:spacing w:line="440" w:lineRule="exact"/>
        <w:ind w:firstLine="120" w:firstLineChars="5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 10.5质疑、投诉</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10.5.1、受理质疑的联系方式：</w:t>
      </w:r>
    </w:p>
    <w:p>
      <w:pPr>
        <w:pStyle w:val="17"/>
        <w:spacing w:line="360" w:lineRule="auto"/>
        <w:ind w:firstLine="480" w:firstLineChars="200"/>
        <w:rPr>
          <w:rFonts w:cs="宋体"/>
          <w:bCs/>
          <w:color w:val="auto"/>
          <w:highlight w:val="none"/>
        </w:rPr>
      </w:pPr>
      <w:r>
        <w:rPr>
          <w:rFonts w:hint="eastAsia" w:cs="宋体"/>
          <w:bCs/>
          <w:color w:val="auto"/>
          <w:highlight w:val="none"/>
        </w:rPr>
        <w:t>采购代理机构：</w:t>
      </w:r>
      <w:r>
        <w:rPr>
          <w:rFonts w:hint="eastAsia" w:cs="宋体"/>
          <w:bCs/>
          <w:color w:val="auto"/>
          <w:highlight w:val="none"/>
          <w:lang w:eastAsia="zh-CN"/>
        </w:rPr>
        <w:t>安徽首建工程建设项目管理有限公司</w:t>
      </w:r>
      <w:r>
        <w:rPr>
          <w:rFonts w:hint="eastAsia" w:cs="宋体"/>
          <w:bCs/>
          <w:color w:val="auto"/>
          <w:highlight w:val="none"/>
        </w:rPr>
        <w:t>　</w:t>
      </w:r>
    </w:p>
    <w:p>
      <w:pPr>
        <w:pStyle w:val="17"/>
        <w:spacing w:line="360" w:lineRule="auto"/>
        <w:ind w:firstLine="480" w:firstLineChars="200"/>
        <w:rPr>
          <w:rFonts w:cs="宋体"/>
          <w:bCs/>
          <w:color w:val="auto"/>
          <w:highlight w:val="none"/>
        </w:rPr>
      </w:pPr>
      <w:r>
        <w:rPr>
          <w:rFonts w:hint="eastAsia" w:cs="宋体"/>
          <w:bCs/>
          <w:color w:val="auto"/>
          <w:highlight w:val="none"/>
        </w:rPr>
        <w:t>联系方式：　</w:t>
      </w:r>
      <w:r>
        <w:rPr>
          <w:rFonts w:hint="eastAsia" w:cs="宋体"/>
          <w:bCs/>
          <w:color w:val="auto"/>
          <w:highlight w:val="none"/>
          <w:lang w:eastAsia="zh-CN"/>
        </w:rPr>
        <w:t>夏工</w:t>
      </w:r>
      <w:r>
        <w:rPr>
          <w:rFonts w:hint="eastAsia" w:cs="宋体"/>
          <w:bCs/>
          <w:color w:val="auto"/>
          <w:highlight w:val="none"/>
        </w:rPr>
        <w:t xml:space="preserve">  </w:t>
      </w:r>
      <w:r>
        <w:rPr>
          <w:rFonts w:hint="eastAsia" w:cs="宋体"/>
          <w:bCs/>
          <w:color w:val="auto"/>
          <w:highlight w:val="none"/>
          <w:lang w:eastAsia="zh-CN"/>
        </w:rPr>
        <w:t>15178118182</w:t>
      </w:r>
      <w:r>
        <w:rPr>
          <w:rFonts w:hint="eastAsia" w:cs="宋体"/>
          <w:bCs/>
          <w:color w:val="auto"/>
          <w:highlight w:val="none"/>
        </w:rPr>
        <w:t xml:space="preserve">     </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10.5.2、对竞争性磋商文件的异议（质疑）：</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10.5.3、对开标过程提出异议（质疑）的，应于开标现场提出。</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10.5.4、对磋商结果的异议（质疑）：</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招标响应相关各方对磋商结果有异议（质疑），应在公示期内以书面形式向招标代理公司或采购人提出。</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（1）书面异议（质疑）材料应当包括以下内容：</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①提出异议（质疑）的供应商的名称、地址及有效联系方式；</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②异议（质疑）对象的供应商的名称；</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③异议（质疑）事项的基本事实；</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④相关请求和主张；</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⑤有效线索和相关证明材料；</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（2）有下列情形的异议（质疑）材料不予受理：</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①书面异议（质疑）材料不完整的；</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②异议（质疑）事项含有主观猜测等内容且无充分有效证据的；</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③对其他供应商的响应文件详细内容异议（质疑），无法提供合法来源渠道的；</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④违反相关法律法规的。</w:t>
      </w:r>
    </w:p>
    <w:p>
      <w:pPr>
        <w:tabs>
          <w:tab w:val="left" w:pos="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10.5.5投诉人有下列情形之一的，属于虚假、恶意投诉，招标采购监督管理部门将驳回投诉，将其列入不良行为记录名单，记入“不守信响应记录档案”，并在相关网络平台公告，同时将报请行政监管部门处理。</w:t>
      </w:r>
    </w:p>
    <w:p>
      <w:pPr>
        <w:tabs>
          <w:tab w:val="left" w:pos="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①一年内三次以上投诉均查无实据的；</w:t>
      </w:r>
    </w:p>
    <w:p>
      <w:pPr>
        <w:tabs>
          <w:tab w:val="left" w:pos="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②捏造事实或者提供虚假投诉材料的；</w:t>
      </w:r>
    </w:p>
    <w:p>
      <w:pPr>
        <w:tabs>
          <w:tab w:val="left" w:pos="0"/>
        </w:tabs>
        <w:spacing w:line="360" w:lineRule="auto"/>
        <w:ind w:firstLine="480" w:firstLineChars="200"/>
        <w:rPr>
          <w:rFonts w:ascii="宋体" w:hAnsi="宋体" w:cs="宋体"/>
          <w:bCs/>
          <w:color w:val="auto"/>
          <w:highlight w:val="none"/>
        </w:rPr>
      </w:pPr>
      <w:r>
        <w:rPr>
          <w:rFonts w:hint="eastAsia" w:ascii="宋体" w:hAnsi="宋体" w:cs="宋体"/>
          <w:bCs/>
          <w:color w:val="auto"/>
          <w:sz w:val="24"/>
          <w:szCs w:val="24"/>
          <w:highlight w:val="none"/>
        </w:rPr>
        <w:t>③其他经认定属于虚假、恶意投诉的行为。</w:t>
      </w:r>
    </w:p>
    <w:p>
      <w:pPr>
        <w:pStyle w:val="32"/>
        <w:spacing w:before="0" w:line="360" w:lineRule="auto"/>
        <w:jc w:val="center"/>
        <w:rPr>
          <w:rFonts w:ascii="宋体" w:hAnsi="宋体" w:eastAsia="宋体"/>
          <w:b/>
          <w:color w:val="auto"/>
          <w:sz w:val="24"/>
          <w:szCs w:val="24"/>
          <w:highlight w:val="none"/>
        </w:rPr>
      </w:pPr>
      <w:bookmarkStart w:id="111" w:name="_Toc27029"/>
      <w:bookmarkStart w:id="112" w:name="_Toc13310"/>
      <w:bookmarkStart w:id="113" w:name="_Toc7324"/>
      <w:bookmarkStart w:id="114" w:name="_Toc448070722"/>
      <w:r>
        <w:rPr>
          <w:rFonts w:hint="eastAsia" w:ascii="宋体" w:hAnsi="宋体" w:eastAsia="宋体"/>
          <w:b/>
          <w:color w:val="auto"/>
          <w:sz w:val="24"/>
          <w:szCs w:val="24"/>
          <w:highlight w:val="none"/>
        </w:rPr>
        <w:t>11．解释权</w:t>
      </w:r>
      <w:bookmarkEnd w:id="111"/>
      <w:bookmarkEnd w:id="112"/>
      <w:bookmarkEnd w:id="113"/>
      <w:bookmarkEnd w:id="114"/>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12.1本竞争性磋商文件的解释权属于采购人。</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12.2未尽事宜，按有关法律法规的规定执行。</w:t>
      </w:r>
    </w:p>
    <w:p>
      <w:pPr>
        <w:numPr>
          <w:ilvl w:val="0"/>
          <w:numId w:val="5"/>
        </w:numPr>
        <w:jc w:val="center"/>
        <w:rPr>
          <w:rFonts w:ascii="宋体" w:hAnsi="宋体"/>
          <w:b/>
          <w:bCs/>
          <w:color w:val="auto"/>
          <w:sz w:val="32"/>
          <w:szCs w:val="32"/>
          <w:highlight w:val="none"/>
        </w:rPr>
      </w:pPr>
      <w:bookmarkStart w:id="115" w:name="_Toc15058"/>
      <w:r>
        <w:rPr>
          <w:rFonts w:hint="eastAsia" w:ascii="宋体" w:hAnsi="宋体" w:cs="宋体"/>
          <w:color w:val="auto"/>
          <w:sz w:val="32"/>
          <w:szCs w:val="32"/>
          <w:highlight w:val="none"/>
        </w:rPr>
        <w:br w:type="page"/>
      </w:r>
      <w:bookmarkEnd w:id="46"/>
      <w:bookmarkEnd w:id="47"/>
      <w:bookmarkEnd w:id="115"/>
      <w:bookmarkStart w:id="116" w:name="_Toc19146"/>
      <w:r>
        <w:rPr>
          <w:rFonts w:ascii="宋体" w:hAnsi="宋体"/>
          <w:b/>
          <w:bCs/>
          <w:color w:val="auto"/>
          <w:sz w:val="32"/>
          <w:szCs w:val="32"/>
          <w:highlight w:val="none"/>
        </w:rPr>
        <w:t>采购需求</w:t>
      </w:r>
      <w:bookmarkEnd w:id="116"/>
    </w:p>
    <w:p>
      <w:pPr>
        <w:spacing w:line="360" w:lineRule="auto"/>
        <w:jc w:val="center"/>
        <w:rPr>
          <w:color w:val="auto"/>
          <w:highlight w:val="none"/>
        </w:rPr>
      </w:pPr>
      <w:r>
        <w:rPr>
          <w:rFonts w:hint="eastAsia" w:ascii="宋体" w:hAnsi="宋体"/>
          <w:b/>
          <w:bCs/>
          <w:color w:val="auto"/>
          <w:sz w:val="28"/>
          <w:szCs w:val="28"/>
          <w:highlight w:val="none"/>
        </w:rPr>
        <w:t>一、参数要求：</w:t>
      </w:r>
    </w:p>
    <w:tbl>
      <w:tblPr>
        <w:tblStyle w:val="19"/>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7"/>
        <w:gridCol w:w="2486"/>
        <w:gridCol w:w="2303"/>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设备名称</w:t>
            </w:r>
          </w:p>
        </w:tc>
        <w:tc>
          <w:tcPr>
            <w:tcW w:w="4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参数</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风管机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制冷量/KW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w:t>
            </w:r>
          </w:p>
        </w:tc>
        <w:tc>
          <w:tcPr>
            <w:tcW w:w="171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101台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额定功率（制冷）kW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制热量/KW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6</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额定功率（制热）kW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2.1</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电辅热功率（kW）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1.75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内机噪音</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24-32</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风量（m³/h）</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850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APF</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3.2</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内机裸机尺寸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1010*450*200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外机裸机尺寸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807*328*555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额定电压/额定功率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220V-50Hz</w:t>
            </w:r>
          </w:p>
        </w:tc>
        <w:tc>
          <w:tcPr>
            <w:tcW w:w="171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风管机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制冷量/KW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7.2</w:t>
            </w:r>
          </w:p>
        </w:tc>
        <w:tc>
          <w:tcPr>
            <w:tcW w:w="171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额定功率（制冷）kW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3.1</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制热量/KW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8.6</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额定功率（制热）kW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3.15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电辅热功率（kW）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2.25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内机噪音</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27-34</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风量（m³/h）</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1200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APF</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3.19</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内机裸机尺寸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1310*450*200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外机裸机尺寸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890*342*673</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额定电压/额定功率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220V-50Hz</w:t>
            </w:r>
          </w:p>
        </w:tc>
        <w:tc>
          <w:tcPr>
            <w:tcW w:w="171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color w:val="auto"/>
                <w:sz w:val="24"/>
                <w:highlight w:val="none"/>
              </w:rPr>
              <w:t>推荐品牌：格力、美的。（优于或等同于推荐品牌）</w:t>
            </w:r>
          </w:p>
        </w:tc>
      </w:tr>
    </w:tbl>
    <w:p>
      <w:pPr>
        <w:pStyle w:val="3"/>
        <w:spacing w:before="6"/>
        <w:rPr>
          <w:b/>
          <w:color w:val="auto"/>
          <w:sz w:val="21"/>
          <w:szCs w:val="21"/>
          <w:highlight w:val="none"/>
        </w:rPr>
      </w:pPr>
    </w:p>
    <w:p>
      <w:pPr>
        <w:pStyle w:val="7"/>
        <w:numPr>
          <w:ilvl w:val="0"/>
          <w:numId w:val="6"/>
        </w:numPr>
        <w:ind w:firstLine="422" w:firstLineChars="200"/>
        <w:rPr>
          <w:rFonts w:ascii="宋体" w:hAnsi="宋体"/>
          <w:color w:val="auto"/>
          <w:sz w:val="21"/>
          <w:szCs w:val="21"/>
          <w:highlight w:val="none"/>
        </w:rPr>
      </w:pPr>
      <w:r>
        <w:rPr>
          <w:rFonts w:ascii="宋体" w:hAnsi="宋体"/>
          <w:color w:val="auto"/>
          <w:sz w:val="21"/>
          <w:szCs w:val="21"/>
          <w:highlight w:val="none"/>
        </w:rPr>
        <w:t>报价要求</w:t>
      </w:r>
    </w:p>
    <w:p>
      <w:pPr>
        <w:pStyle w:val="3"/>
        <w:spacing w:line="360" w:lineRule="auto"/>
        <w:ind w:firstLine="422" w:firstLineChars="200"/>
        <w:rPr>
          <w:b/>
          <w:bCs/>
          <w:color w:val="auto"/>
          <w:sz w:val="21"/>
          <w:szCs w:val="21"/>
          <w:highlight w:val="none"/>
        </w:rPr>
      </w:pPr>
      <w:permStart w:id="0" w:edGrp="everyone"/>
      <w:r>
        <w:rPr>
          <w:rFonts w:hint="eastAsia"/>
          <w:b/>
          <w:bCs/>
          <w:color w:val="auto"/>
          <w:sz w:val="21"/>
          <w:szCs w:val="21"/>
          <w:highlight w:val="none"/>
        </w:rPr>
        <w:t>本项目响应报价包含所响应产品安装费用</w:t>
      </w:r>
      <w:r>
        <w:rPr>
          <w:rFonts w:hint="eastAsia"/>
          <w:b/>
          <w:bCs/>
          <w:color w:val="auto"/>
          <w:sz w:val="21"/>
          <w:szCs w:val="21"/>
          <w:highlight w:val="none"/>
          <w:lang w:val="en-US" w:eastAsia="zh-CN"/>
        </w:rPr>
        <w:t>(包含8米铜管）</w:t>
      </w:r>
      <w:r>
        <w:rPr>
          <w:rFonts w:hint="eastAsia"/>
          <w:b/>
          <w:bCs/>
          <w:color w:val="auto"/>
          <w:sz w:val="21"/>
          <w:szCs w:val="21"/>
          <w:highlight w:val="none"/>
        </w:rPr>
        <w:t>、税费及包装、运至最终目的地的运输、保险、安装、检测验收和交付后维保（包含电器产品、电子产品、设备、操作系统等培训，须提供技术人员到场培训，培训时间以采购人认可时间为准）等工作所发生的全部费用等。</w:t>
      </w:r>
    </w:p>
    <w:permEnd w:id="0"/>
    <w:p>
      <w:pPr>
        <w:pStyle w:val="5"/>
        <w:autoSpaceDE w:val="0"/>
        <w:autoSpaceDN w:val="0"/>
        <w:spacing w:line="360" w:lineRule="auto"/>
        <w:ind w:firstLine="422" w:firstLineChars="200"/>
        <w:jc w:val="left"/>
        <w:rPr>
          <w:rFonts w:ascii="宋体" w:hAnsi="宋体" w:eastAsia="宋体" w:cs="宋体"/>
          <w:bCs w:val="0"/>
          <w:color w:val="auto"/>
          <w:kern w:val="0"/>
          <w:sz w:val="21"/>
          <w:szCs w:val="21"/>
          <w:highlight w:val="none"/>
          <w:lang w:val="zh-CN" w:bidi="zh-CN"/>
        </w:rPr>
      </w:pPr>
      <w:r>
        <w:rPr>
          <w:rFonts w:hint="eastAsia" w:ascii="宋体" w:hAnsi="宋体" w:eastAsia="宋体" w:cs="宋体"/>
          <w:bCs w:val="0"/>
          <w:color w:val="auto"/>
          <w:kern w:val="0"/>
          <w:sz w:val="21"/>
          <w:szCs w:val="21"/>
          <w:highlight w:val="none"/>
          <w:lang w:val="zh-CN" w:bidi="zh-CN"/>
        </w:rPr>
        <w:t>三</w:t>
      </w:r>
      <w:r>
        <w:rPr>
          <w:rFonts w:ascii="宋体" w:hAnsi="宋体" w:eastAsia="宋体" w:cs="宋体"/>
          <w:bCs w:val="0"/>
          <w:color w:val="auto"/>
          <w:kern w:val="0"/>
          <w:sz w:val="21"/>
          <w:szCs w:val="21"/>
          <w:highlight w:val="none"/>
          <w:lang w:val="zh-CN" w:bidi="zh-CN"/>
        </w:rPr>
        <w:t>、其他要求</w:t>
      </w:r>
    </w:p>
    <w:p>
      <w:pPr>
        <w:spacing w:line="360" w:lineRule="auto"/>
        <w:ind w:firstLine="422" w:firstLineChars="200"/>
        <w:rPr>
          <w:rFonts w:hint="eastAsia" w:ascii="宋体" w:hAnsi="宋体" w:cs="宋体"/>
          <w:b/>
          <w:bCs/>
          <w:color w:val="auto"/>
          <w:kern w:val="0"/>
          <w:highlight w:val="none"/>
          <w:lang w:bidi="zh-CN"/>
        </w:rPr>
      </w:pPr>
      <w:r>
        <w:rPr>
          <w:rFonts w:hint="eastAsia" w:ascii="宋体" w:hAnsi="宋体" w:cs="宋体"/>
          <w:b/>
          <w:bCs/>
          <w:color w:val="auto"/>
          <w:kern w:val="0"/>
          <w:highlight w:val="none"/>
          <w:lang w:bidi="zh-CN"/>
        </w:rPr>
        <w:t>1、为有助于供应商选择响应产品，若项目需求中提供了推荐品牌（或型号）、参考品牌（或型号、图片）等，这些品牌（或型号、图片）等仅供参考，并无限制性（但须为国内一线品牌）。供应商可以选择性能不低于推荐（或参考）的品牌（或型号、图片）的其他品牌产品。注：需提供同一品牌产品，不得同时提供两个及以上的品牌产品。</w:t>
      </w:r>
    </w:p>
    <w:p>
      <w:pPr>
        <w:spacing w:line="360" w:lineRule="auto"/>
        <w:ind w:firstLine="422" w:firstLineChars="200"/>
        <w:rPr>
          <w:rFonts w:ascii="宋体" w:hAnsi="宋体" w:cs="宋体"/>
          <w:b/>
          <w:bCs/>
          <w:color w:val="auto"/>
          <w:kern w:val="0"/>
          <w:highlight w:val="none"/>
          <w:lang w:bidi="zh-CN"/>
        </w:rPr>
      </w:pPr>
      <w:r>
        <w:rPr>
          <w:rFonts w:hint="eastAsia" w:ascii="宋体" w:hAnsi="宋体" w:cs="宋体"/>
          <w:b/>
          <w:bCs/>
          <w:color w:val="auto"/>
          <w:kern w:val="0"/>
          <w:highlight w:val="none"/>
          <w:lang w:bidi="zh-CN"/>
        </w:rPr>
        <w:t>2、成交人负责所有产品的安装调试工作，在产品到货、安装、运输、调试、培训和验收期间应接受采购人管理，因现在农贸市场尚未完工，中标后需要和农贸市场施工单位签订安全协议，安装空调过程中所有的安全责任由成交人自行承担，应采取严格的安全措施，承担由于自身原因所造成的事故责任及其发生的一切费用。</w:t>
      </w:r>
    </w:p>
    <w:p>
      <w:pPr>
        <w:spacing w:line="360" w:lineRule="auto"/>
        <w:ind w:firstLine="422" w:firstLineChars="200"/>
        <w:rPr>
          <w:rFonts w:ascii="宋体" w:hAnsi="宋体" w:cs="宋体"/>
          <w:b/>
          <w:bCs/>
          <w:color w:val="auto"/>
          <w:kern w:val="0"/>
          <w:highlight w:val="none"/>
          <w:lang w:bidi="zh-CN"/>
        </w:rPr>
      </w:pPr>
      <w:r>
        <w:rPr>
          <w:rFonts w:hint="eastAsia" w:ascii="宋体" w:hAnsi="宋体" w:cs="宋体"/>
          <w:b/>
          <w:bCs/>
          <w:color w:val="auto"/>
          <w:kern w:val="0"/>
          <w:highlight w:val="none"/>
          <w:lang w:bidi="zh-CN"/>
        </w:rPr>
        <w:t>3、成交人所提供产品应为全新、未使用过的符合国家有关质量标准的产品，须经采购人认可方可交货入场；交货时必须提供质量保证材料（包括出厂检验报告、合格证等）使用说明资料并派技术人员到场安装，包安装调试及人员培训等。</w:t>
      </w:r>
    </w:p>
    <w:p>
      <w:pPr>
        <w:spacing w:line="360" w:lineRule="auto"/>
        <w:ind w:firstLine="422" w:firstLineChars="200"/>
        <w:rPr>
          <w:rFonts w:hint="eastAsia" w:ascii="宋体" w:hAnsi="宋体" w:cs="宋体"/>
          <w:b/>
          <w:bCs/>
          <w:kern w:val="0"/>
          <w:lang w:val="en-US" w:eastAsia="zh-CN" w:bidi="zh-CN"/>
        </w:rPr>
      </w:pPr>
      <w:r>
        <w:rPr>
          <w:rFonts w:hint="eastAsia" w:ascii="宋体" w:hAnsi="宋体" w:cs="宋体"/>
          <w:b/>
          <w:bCs/>
          <w:color w:val="auto"/>
          <w:kern w:val="0"/>
          <w:highlight w:val="none"/>
          <w:lang w:val="en-US" w:eastAsia="zh-CN" w:bidi="zh-CN"/>
        </w:rPr>
        <w:t>4、成交人应在本地设有专门的维修地点或直营店，以便后期维修及调试。</w:t>
      </w:r>
    </w:p>
    <w:p>
      <w:pPr>
        <w:spacing w:line="360" w:lineRule="auto"/>
        <w:ind w:firstLine="422" w:firstLineChars="200"/>
        <w:rPr>
          <w:rFonts w:hint="eastAsia" w:ascii="宋体" w:hAnsi="宋体" w:cs="宋体"/>
          <w:b/>
          <w:bCs/>
          <w:color w:val="auto"/>
          <w:kern w:val="0"/>
          <w:highlight w:val="none"/>
          <w:lang w:val="en-US" w:eastAsia="zh-CN" w:bidi="zh-CN"/>
        </w:rPr>
      </w:pPr>
    </w:p>
    <w:p>
      <w:pPr>
        <w:widowControl/>
        <w:jc w:val="left"/>
        <w:rPr>
          <w:rFonts w:ascii="宋体" w:hAnsi="宋体"/>
          <w:b/>
          <w:bCs/>
          <w:color w:val="auto"/>
          <w:w w:val="95"/>
          <w:highlight w:val="none"/>
        </w:rPr>
      </w:pPr>
    </w:p>
    <w:p>
      <w:pPr>
        <w:widowControl/>
        <w:jc w:val="left"/>
        <w:rPr>
          <w:rFonts w:ascii="宋体" w:hAnsi="宋体"/>
          <w:color w:val="auto"/>
          <w:highlight w:val="none"/>
        </w:rPr>
      </w:pPr>
      <w:r>
        <w:rPr>
          <w:color w:val="auto"/>
          <w:highlight w:val="none"/>
        </w:rPr>
        <w:br w:type="page"/>
      </w:r>
    </w:p>
    <w:p>
      <w:pPr>
        <w:pStyle w:val="4"/>
        <w:tabs>
          <w:tab w:val="left" w:pos="1129"/>
        </w:tabs>
        <w:ind w:left="4"/>
        <w:jc w:val="center"/>
        <w:rPr>
          <w:rFonts w:ascii="宋体" w:hAnsi="宋体"/>
          <w:color w:val="auto"/>
          <w:sz w:val="32"/>
          <w:szCs w:val="32"/>
          <w:highlight w:val="none"/>
        </w:rPr>
      </w:pPr>
      <w:bookmarkStart w:id="117" w:name="_Toc22824"/>
      <w:r>
        <w:rPr>
          <w:rFonts w:ascii="宋体" w:hAnsi="宋体"/>
          <w:color w:val="auto"/>
          <w:sz w:val="32"/>
          <w:szCs w:val="32"/>
          <w:highlight w:val="none"/>
        </w:rPr>
        <w:t>第四章</w:t>
      </w:r>
      <w:r>
        <w:rPr>
          <w:rFonts w:ascii="宋体" w:hAnsi="宋体"/>
          <w:color w:val="auto"/>
          <w:sz w:val="32"/>
          <w:szCs w:val="32"/>
          <w:highlight w:val="none"/>
        </w:rPr>
        <w:tab/>
      </w:r>
      <w:r>
        <w:rPr>
          <w:rFonts w:hint="eastAsia" w:ascii="宋体" w:hAnsi="宋体"/>
          <w:color w:val="auto"/>
          <w:sz w:val="32"/>
          <w:szCs w:val="32"/>
          <w:highlight w:val="none"/>
        </w:rPr>
        <w:t xml:space="preserve"> </w:t>
      </w:r>
      <w:r>
        <w:rPr>
          <w:rFonts w:ascii="宋体" w:hAnsi="宋体"/>
          <w:color w:val="auto"/>
          <w:sz w:val="32"/>
          <w:szCs w:val="32"/>
          <w:highlight w:val="none"/>
        </w:rPr>
        <w:t>评审方法和标准</w:t>
      </w:r>
      <w:bookmarkEnd w:id="117"/>
    </w:p>
    <w:p>
      <w:pPr>
        <w:pStyle w:val="7"/>
        <w:spacing w:before="188" w:line="360" w:lineRule="auto"/>
        <w:ind w:left="1011"/>
        <w:rPr>
          <w:rFonts w:ascii="宋体" w:hAnsi="宋体"/>
          <w:color w:val="auto"/>
          <w:sz w:val="21"/>
          <w:szCs w:val="21"/>
          <w:highlight w:val="none"/>
        </w:rPr>
      </w:pPr>
      <w:r>
        <w:rPr>
          <w:rFonts w:ascii="宋体" w:hAnsi="宋体"/>
          <w:color w:val="auto"/>
          <w:sz w:val="21"/>
          <w:szCs w:val="21"/>
          <w:highlight w:val="none"/>
        </w:rPr>
        <w:t>一、总则</w:t>
      </w:r>
    </w:p>
    <w:p>
      <w:pPr>
        <w:pStyle w:val="3"/>
        <w:spacing w:before="160" w:line="360" w:lineRule="auto"/>
        <w:ind w:left="1011" w:right="613" w:hanging="3"/>
        <w:rPr>
          <w:color w:val="auto"/>
          <w:sz w:val="21"/>
          <w:szCs w:val="21"/>
          <w:highlight w:val="none"/>
        </w:rPr>
      </w:pPr>
      <w:r>
        <w:rPr>
          <w:rFonts w:hint="eastAsia"/>
          <w:color w:val="auto"/>
          <w:sz w:val="21"/>
          <w:szCs w:val="21"/>
          <w:highlight w:val="none"/>
        </w:rPr>
        <w:t>根据《政府采购法》等有关规定，为规范本采购项目竞争性磋商的磋商工作，制定本办法。</w:t>
      </w:r>
    </w:p>
    <w:p>
      <w:pPr>
        <w:pStyle w:val="3"/>
        <w:spacing w:before="160" w:line="360" w:lineRule="auto"/>
        <w:ind w:left="1011" w:right="613" w:hanging="3"/>
        <w:rPr>
          <w:b/>
          <w:color w:val="auto"/>
          <w:sz w:val="21"/>
          <w:szCs w:val="21"/>
          <w:highlight w:val="none"/>
        </w:rPr>
      </w:pPr>
      <w:r>
        <w:rPr>
          <w:b/>
          <w:color w:val="auto"/>
          <w:sz w:val="21"/>
          <w:szCs w:val="21"/>
          <w:highlight w:val="none"/>
        </w:rPr>
        <w:t>二、评审方法</w:t>
      </w:r>
    </w:p>
    <w:p>
      <w:pPr>
        <w:pStyle w:val="26"/>
        <w:numPr>
          <w:ilvl w:val="1"/>
          <w:numId w:val="7"/>
        </w:numPr>
        <w:tabs>
          <w:tab w:val="left" w:pos="1430"/>
        </w:tabs>
        <w:autoSpaceDE w:val="0"/>
        <w:autoSpaceDN w:val="0"/>
        <w:spacing w:before="5" w:line="360" w:lineRule="auto"/>
        <w:ind w:hanging="421" w:firstLineChars="0"/>
        <w:rPr>
          <w:rFonts w:ascii="宋体" w:hAnsi="宋体"/>
          <w:color w:val="auto"/>
          <w:szCs w:val="21"/>
          <w:highlight w:val="none"/>
        </w:rPr>
      </w:pPr>
      <w:r>
        <w:rPr>
          <w:rFonts w:ascii="宋体" w:hAnsi="宋体"/>
          <w:color w:val="auto"/>
          <w:szCs w:val="21"/>
          <w:highlight w:val="none"/>
        </w:rPr>
        <w:t>初审</w:t>
      </w:r>
    </w:p>
    <w:p>
      <w:pPr>
        <w:pStyle w:val="3"/>
        <w:spacing w:before="159" w:line="360" w:lineRule="auto"/>
        <w:ind w:left="574" w:right="497" w:firstLine="434"/>
        <w:rPr>
          <w:color w:val="auto"/>
          <w:sz w:val="21"/>
          <w:szCs w:val="21"/>
          <w:highlight w:val="none"/>
        </w:rPr>
      </w:pPr>
      <w:r>
        <w:rPr>
          <w:color w:val="auto"/>
          <w:sz w:val="21"/>
          <w:szCs w:val="21"/>
          <w:highlight w:val="none"/>
        </w:rPr>
        <w:t>磋商小组对供应商的响应文件进行初审，以确定其是否满足磋商文件的实质性要求。初审表如下：</w:t>
      </w:r>
    </w:p>
    <w:tbl>
      <w:tblPr>
        <w:tblStyle w:val="19"/>
        <w:tblW w:w="9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2"/>
        <w:gridCol w:w="2683"/>
        <w:gridCol w:w="5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jc w:val="center"/>
        </w:trPr>
        <w:tc>
          <w:tcPr>
            <w:tcW w:w="1262" w:type="dxa"/>
            <w:tcBorders>
              <w:top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评审因素</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1262" w:type="dxa"/>
            <w:vMerge w:val="restart"/>
            <w:tcBorders>
              <w:right w:val="single" w:color="auto" w:sz="4" w:space="0"/>
            </w:tcBorders>
            <w:noWrap w:val="0"/>
            <w:vAlign w:val="center"/>
          </w:tcPr>
          <w:p>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初步评审</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营业执照</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rPr>
                <w:rFonts w:ascii="宋体" w:hAnsi="宋体" w:cs="宋体"/>
                <w:color w:val="auto"/>
                <w:sz w:val="24"/>
                <w:highlight w:val="none"/>
              </w:rPr>
            </w:pPr>
            <w:r>
              <w:rPr>
                <w:rFonts w:hint="eastAsia" w:ascii="宋体" w:hAnsi="宋体" w:cs="宋体"/>
                <w:color w:val="auto"/>
                <w:sz w:val="24"/>
                <w:highlight w:val="none"/>
              </w:rPr>
              <w:t>有效并符合竞争性磋商文件要求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1262" w:type="dxa"/>
            <w:vMerge w:val="continue"/>
            <w:tcBorders>
              <w:right w:val="single" w:color="auto" w:sz="4" w:space="0"/>
            </w:tcBorders>
            <w:noWrap w:val="0"/>
            <w:vAlign w:val="center"/>
          </w:tcPr>
          <w:p>
            <w:pPr>
              <w:spacing w:before="100" w:beforeAutospacing="1" w:after="100" w:afterAutospacing="1"/>
              <w:jc w:val="cente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rPr>
                <w:rFonts w:ascii="宋体" w:hAnsi="宋体" w:cs="宋体"/>
                <w:color w:val="auto"/>
                <w:sz w:val="24"/>
                <w:highlight w:val="none"/>
              </w:rPr>
            </w:pPr>
            <w:r>
              <w:rPr>
                <w:rFonts w:hint="eastAsia" w:ascii="宋体" w:hAnsi="宋体" w:cs="宋体"/>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磋商申请及申明签字盖章</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rPr>
                <w:rFonts w:ascii="宋体" w:hAnsi="宋体" w:cs="宋体"/>
                <w:color w:val="auto"/>
                <w:sz w:val="24"/>
                <w:highlight w:val="none"/>
              </w:rPr>
            </w:pPr>
            <w:r>
              <w:rPr>
                <w:rFonts w:hint="eastAsia" w:ascii="宋体" w:hAnsi="宋体" w:cs="宋体"/>
                <w:color w:val="auto"/>
                <w:sz w:val="24"/>
                <w:highlight w:val="none"/>
              </w:rPr>
              <w:t>符合“磋商申请及申明”格式要求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ascii="宋体" w:hAnsi="宋体" w:cs="宋体"/>
                <w:color w:val="auto"/>
                <w:sz w:val="24"/>
                <w:highlight w:val="none"/>
              </w:rPr>
            </w:pPr>
            <w:r>
              <w:rPr>
                <w:rFonts w:hint="eastAsia" w:ascii="宋体" w:hAnsi="宋体" w:cs="宋体"/>
                <w:color w:val="auto"/>
                <w:sz w:val="24"/>
                <w:highlight w:val="none"/>
              </w:rPr>
              <w:t>符合第二章“供应商须知前附表”规定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2"/>
                <w:highlight w:val="none"/>
              </w:rPr>
              <w:t>报价唯一</w:t>
            </w:r>
          </w:p>
        </w:tc>
        <w:tc>
          <w:tcPr>
            <w:tcW w:w="5724" w:type="dxa"/>
            <w:tcBorders>
              <w:top w:val="single" w:color="auto" w:sz="4" w:space="0"/>
              <w:left w:val="single" w:color="auto" w:sz="4" w:space="0"/>
              <w:bottom w:val="single" w:color="auto" w:sz="4" w:space="0"/>
            </w:tcBorders>
            <w:noWrap w:val="0"/>
            <w:vAlign w:val="center"/>
          </w:tcPr>
          <w:p>
            <w:pPr>
              <w:rPr>
                <w:rFonts w:ascii="宋体" w:hAnsi="宋体" w:cs="宋体"/>
                <w:color w:val="auto"/>
                <w:sz w:val="24"/>
                <w:szCs w:val="24"/>
                <w:highlight w:val="none"/>
              </w:rPr>
            </w:pPr>
            <w:r>
              <w:rPr>
                <w:rFonts w:hint="eastAsia" w:ascii="宋体" w:hAnsi="宋体" w:cs="宋体"/>
                <w:color w:val="auto"/>
                <w:sz w:val="24"/>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ascii="宋体" w:hAnsi="宋体" w:cs="宋体"/>
                <w:color w:val="auto"/>
                <w:sz w:val="24"/>
                <w:highlight w:val="none"/>
              </w:rPr>
            </w:pPr>
            <w:r>
              <w:rPr>
                <w:rFonts w:hint="eastAsia" w:ascii="宋体" w:hAnsi="宋体" w:cs="宋体"/>
                <w:color w:val="auto"/>
                <w:sz w:val="24"/>
                <w:highlight w:val="none"/>
              </w:rPr>
              <w:t>符合竞争性磋商文件其他要求的</w:t>
            </w:r>
          </w:p>
        </w:tc>
      </w:tr>
    </w:tbl>
    <w:p>
      <w:pPr>
        <w:spacing w:line="360" w:lineRule="auto"/>
        <w:rPr>
          <w:rFonts w:ascii="宋体" w:hAnsi="宋体"/>
          <w:color w:val="auto"/>
          <w:highlight w:val="none"/>
        </w:rPr>
        <w:sectPr>
          <w:pgSz w:w="11910" w:h="16850"/>
          <w:pgMar w:top="1400" w:right="1240" w:bottom="1460" w:left="1240" w:header="877" w:footer="1266" w:gutter="0"/>
          <w:pgBorders>
            <w:top w:val="none" w:sz="0" w:space="0"/>
            <w:left w:val="none" w:sz="0" w:space="0"/>
            <w:bottom w:val="none" w:sz="0" w:space="0"/>
            <w:right w:val="none" w:sz="0" w:space="0"/>
          </w:pgBorders>
          <w:cols w:space="720" w:num="1"/>
        </w:sectPr>
      </w:pPr>
    </w:p>
    <w:p>
      <w:pPr>
        <w:spacing w:before="1" w:line="360" w:lineRule="auto"/>
        <w:ind w:firstLine="843" w:firstLineChars="400"/>
        <w:rPr>
          <w:rFonts w:ascii="宋体" w:hAnsi="宋体"/>
          <w:color w:val="auto"/>
          <w:highlight w:val="none"/>
        </w:rPr>
      </w:pPr>
      <w:r>
        <w:rPr>
          <w:rFonts w:ascii="宋体" w:hAnsi="宋体"/>
          <w:b/>
          <w:color w:val="auto"/>
          <w:highlight w:val="none"/>
        </w:rPr>
        <w:t>初审指标通过标准：</w:t>
      </w:r>
      <w:r>
        <w:rPr>
          <w:rFonts w:ascii="宋体" w:hAnsi="宋体"/>
          <w:color w:val="auto"/>
          <w:highlight w:val="none"/>
        </w:rPr>
        <w:t>供应商必须通过初审表中的全部评审指标。</w:t>
      </w:r>
    </w:p>
    <w:p>
      <w:pPr>
        <w:pStyle w:val="7"/>
        <w:keepNext w:val="0"/>
        <w:keepLines w:val="0"/>
        <w:numPr>
          <w:ilvl w:val="1"/>
          <w:numId w:val="7"/>
        </w:numPr>
        <w:tabs>
          <w:tab w:val="left" w:pos="1434"/>
        </w:tabs>
        <w:autoSpaceDE w:val="0"/>
        <w:autoSpaceDN w:val="0"/>
        <w:spacing w:before="158" w:after="0" w:line="360" w:lineRule="auto"/>
        <w:ind w:left="1434" w:hanging="425"/>
        <w:rPr>
          <w:rFonts w:ascii="宋体" w:hAnsi="宋体"/>
          <w:b w:val="0"/>
          <w:color w:val="auto"/>
          <w:sz w:val="21"/>
          <w:szCs w:val="21"/>
          <w:highlight w:val="none"/>
        </w:rPr>
      </w:pPr>
      <w:r>
        <w:rPr>
          <w:rFonts w:ascii="宋体" w:hAnsi="宋体"/>
          <w:b w:val="0"/>
          <w:color w:val="auto"/>
          <w:sz w:val="21"/>
          <w:szCs w:val="21"/>
          <w:highlight w:val="none"/>
        </w:rPr>
        <w:t>综合评分</w:t>
      </w:r>
    </w:p>
    <w:p>
      <w:pPr>
        <w:pStyle w:val="26"/>
        <w:numPr>
          <w:ilvl w:val="2"/>
          <w:numId w:val="7"/>
        </w:numPr>
        <w:tabs>
          <w:tab w:val="left" w:pos="1653"/>
        </w:tabs>
        <w:autoSpaceDE w:val="0"/>
        <w:autoSpaceDN w:val="0"/>
        <w:spacing w:before="160" w:line="360" w:lineRule="auto"/>
        <w:ind w:right="570" w:firstLine="434" w:firstLineChars="0"/>
        <w:rPr>
          <w:rFonts w:ascii="宋体" w:hAnsi="宋体"/>
          <w:color w:val="auto"/>
          <w:szCs w:val="21"/>
          <w:highlight w:val="none"/>
        </w:rPr>
      </w:pPr>
      <w:r>
        <w:rPr>
          <w:rFonts w:ascii="宋体" w:hAnsi="宋体"/>
          <w:color w:val="auto"/>
          <w:szCs w:val="21"/>
          <w:highlight w:val="none"/>
        </w:rPr>
        <w:t>磋商小组按照下表对进入综合评分的所有供应商的响应文件进行综合评分。</w:t>
      </w:r>
    </w:p>
    <w:p>
      <w:pPr>
        <w:pStyle w:val="26"/>
        <w:numPr>
          <w:ilvl w:val="2"/>
          <w:numId w:val="7"/>
        </w:numPr>
        <w:tabs>
          <w:tab w:val="left" w:pos="1670"/>
        </w:tabs>
        <w:autoSpaceDE w:val="0"/>
        <w:autoSpaceDN w:val="0"/>
        <w:spacing w:before="160" w:line="360" w:lineRule="auto"/>
        <w:ind w:right="570" w:firstLine="434" w:firstLineChars="0"/>
        <w:rPr>
          <w:rFonts w:ascii="宋体" w:hAnsi="宋体"/>
          <w:color w:val="auto"/>
          <w:szCs w:val="21"/>
          <w:highlight w:val="none"/>
        </w:rPr>
      </w:pPr>
      <w:r>
        <w:rPr>
          <w:rFonts w:ascii="宋体" w:hAnsi="宋体"/>
          <w:color w:val="auto"/>
          <w:szCs w:val="21"/>
          <w:highlight w:val="none"/>
        </w:rPr>
        <w:t>本项目综合评分满分为 100 分，其中：技术资信分值占总分值的权重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70   </w:t>
      </w:r>
      <w:r>
        <w:rPr>
          <w:rFonts w:ascii="宋体" w:hAnsi="宋体"/>
          <w:color w:val="auto"/>
          <w:szCs w:val="21"/>
          <w:highlight w:val="none"/>
        </w:rPr>
        <w:t>%，价格分值占总分值的权重为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30</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（价格分值占总分值的比重(即权值)为30%至60%。）《竞争性磋商管理办法规定》</w:t>
      </w:r>
      <w:r>
        <w:rPr>
          <w:rFonts w:ascii="宋体" w:hAnsi="宋体"/>
          <w:color w:val="auto"/>
          <w:szCs w:val="21"/>
          <w:highlight w:val="none"/>
        </w:rPr>
        <w:t>具体评分细则如下：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405"/>
        <w:gridCol w:w="4789"/>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类别</w:t>
            </w: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评分内容</w:t>
            </w:r>
          </w:p>
        </w:tc>
        <w:tc>
          <w:tcPr>
            <w:tcW w:w="4789"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c>
          <w:tcPr>
            <w:tcW w:w="1103"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21" w:type="dxa"/>
            <w:vMerge w:val="restart"/>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技术部分</w:t>
            </w: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机组技术要求</w:t>
            </w:r>
          </w:p>
        </w:tc>
        <w:tc>
          <w:tcPr>
            <w:tcW w:w="4789" w:type="dxa"/>
            <w:noWrap w:val="0"/>
            <w:vAlign w:val="center"/>
          </w:tcPr>
          <w:p>
            <w:pPr>
              <w:rPr>
                <w:rFonts w:ascii="宋体" w:hAnsi="宋体" w:cs="宋体"/>
                <w:color w:val="auto"/>
                <w:sz w:val="24"/>
                <w:szCs w:val="24"/>
                <w:highlight w:val="none"/>
              </w:rPr>
            </w:pPr>
            <w:r>
              <w:rPr>
                <w:rFonts w:ascii="宋体" w:hAnsi="宋体" w:cs="宋体"/>
                <w:color w:val="auto"/>
                <w:sz w:val="24"/>
                <w:szCs w:val="24"/>
                <w:highlight w:val="none"/>
              </w:rPr>
              <w:t>投标人需要对招标技术参数逐条响应，每有一条不满足招标技术要求的，扣</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分，扣完为止。</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制造商实力</w:t>
            </w:r>
          </w:p>
        </w:tc>
        <w:tc>
          <w:tcPr>
            <w:tcW w:w="4789" w:type="dxa"/>
            <w:noWrap w:val="0"/>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1、制造厂商具有多联机绿色建筑环境节能证书得5分，不提供不得分；须提供证书复印件。 </w:t>
            </w:r>
          </w:p>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2、制造商获质量管理体系认证证书、环境管理体系认证证书、职业健康安全管理体系认证证书、企业诚信管理体系认证证书；全部满足得8分，每少1项扣2分，扣完为止，其余不得分，须提供证书复印件。 </w:t>
            </w:r>
          </w:p>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制造商获全国百佳质量诚信标杆示范企业、全国产品和服务质量诚信示范企业、全国质量诚信标杆典型企业、全国质量检验稳定合格产品荣誉证书：全部获得的得8分，每少1项扣2分，扣完为止，须提供证书复印件。 </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设计、安装、调 </w:t>
            </w:r>
          </w:p>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试、验收方案 </w:t>
            </w:r>
          </w:p>
          <w:p>
            <w:pPr>
              <w:jc w:val="center"/>
              <w:rPr>
                <w:rFonts w:ascii="宋体" w:hAnsi="宋体" w:cs="宋体"/>
                <w:color w:val="auto"/>
                <w:sz w:val="24"/>
                <w:szCs w:val="24"/>
                <w:highlight w:val="none"/>
              </w:rPr>
            </w:pPr>
          </w:p>
        </w:tc>
        <w:tc>
          <w:tcPr>
            <w:tcW w:w="4789" w:type="dxa"/>
            <w:noWrap w:val="0"/>
            <w:vAlign w:val="center"/>
          </w:tcPr>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1、方案科学有效且具有可操作性的，得8-10分； </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2、方案一般且能满足需要的，得4-7分；</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3、方案不完整但能基本满足需要的，得1- 3分；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4、方案存在明显缺陷的或无方案的，不得分。 </w:t>
            </w:r>
          </w:p>
        </w:tc>
        <w:tc>
          <w:tcPr>
            <w:tcW w:w="1103"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售后服务及第三 </w:t>
            </w:r>
          </w:p>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方认证</w:t>
            </w:r>
          </w:p>
          <w:p>
            <w:pPr>
              <w:jc w:val="center"/>
              <w:rPr>
                <w:rFonts w:ascii="宋体" w:hAnsi="宋体" w:cs="宋体"/>
                <w:color w:val="auto"/>
                <w:sz w:val="24"/>
                <w:szCs w:val="24"/>
                <w:highlight w:val="none"/>
              </w:rPr>
            </w:pPr>
          </w:p>
        </w:tc>
        <w:tc>
          <w:tcPr>
            <w:tcW w:w="4789" w:type="dxa"/>
            <w:noWrap w:val="0"/>
            <w:vAlign w:val="center"/>
          </w:tcPr>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1、售后服务体系认证：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（1）制造商具备七星级售后服务体系认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证及以上得4分，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（2）五星级售后服务体系认证得2分，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（3）其余不得分；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2.空调质保维修期6年的得3分，质保期内免费上门维修（包含更换部件等），同一设备故障两次以上免费换新。提供售后服务承诺书并加盖投标人公章，不提供不得分； </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售后服务方案</w:t>
            </w:r>
          </w:p>
        </w:tc>
        <w:tc>
          <w:tcPr>
            <w:tcW w:w="4789" w:type="dxa"/>
            <w:noWrap w:val="0"/>
            <w:vAlign w:val="center"/>
          </w:tcPr>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 xml:space="preserve">（1）方案完整及有效的，得8-10分； </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（2）方案不完整但能基本满足的，得4-7分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（3）方案不完整但能基本满足需要的，得1-3分； </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（4）方案存在明显缺陷的或无方案的，不得分。</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 xml:space="preserve">注：投标产品制造厂家或供应商设立了健全的售后服务机构网点，有详细的售后服务机构名单、地址、服务电话和维修人员名单等。（供应商须在投标文件中提供相关证明材料并加盖投标人公章） </w:t>
            </w:r>
          </w:p>
          <w:p>
            <w:pPr>
              <w:rPr>
                <w:rFonts w:hint="eastAsia" w:ascii="宋体" w:hAnsi="宋体" w:cs="宋体"/>
                <w:color w:val="auto"/>
                <w:kern w:val="0"/>
                <w:sz w:val="24"/>
                <w:szCs w:val="24"/>
                <w:highlight w:val="none"/>
                <w:lang w:val="en-US" w:eastAsia="zh-CN" w:bidi="ar"/>
              </w:rPr>
            </w:pPr>
          </w:p>
        </w:tc>
        <w:tc>
          <w:tcPr>
            <w:tcW w:w="1103" w:type="dxa"/>
            <w:noWrap w:val="0"/>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价格部分</w:t>
            </w:r>
          </w:p>
        </w:tc>
        <w:tc>
          <w:tcPr>
            <w:tcW w:w="6194" w:type="dxa"/>
            <w:gridSpan w:val="2"/>
            <w:noWrap w:val="0"/>
            <w:vAlign w:val="center"/>
          </w:tcPr>
          <w:p>
            <w:pPr>
              <w:ind w:firstLine="480" w:firstLineChars="200"/>
              <w:rPr>
                <w:rFonts w:ascii="宋体" w:hAnsi="宋体"/>
                <w:color w:val="auto"/>
                <w:sz w:val="24"/>
                <w:highlight w:val="none"/>
              </w:rPr>
            </w:pPr>
            <w:r>
              <w:rPr>
                <w:rFonts w:hint="eastAsia" w:ascii="宋体" w:hAnsi="宋体"/>
                <w:color w:val="auto"/>
                <w:sz w:val="24"/>
                <w:highlight w:val="none"/>
              </w:rPr>
              <w:t>价格分统一采用低价优先法，即满足磋商文件要求且价格最低的最后报价为评标基准价，其价格分为满分</w:t>
            </w:r>
            <w:r>
              <w:rPr>
                <w:rFonts w:hint="eastAsia" w:ascii="宋体" w:hAnsi="宋体"/>
                <w:color w:val="auto"/>
                <w:sz w:val="24"/>
                <w:highlight w:val="none"/>
                <w:lang w:val="en-US" w:eastAsia="zh-CN"/>
              </w:rPr>
              <w:t>3</w:t>
            </w:r>
            <w:r>
              <w:rPr>
                <w:rFonts w:hint="eastAsia" w:ascii="宋体" w:hAnsi="宋体"/>
                <w:color w:val="auto"/>
                <w:sz w:val="24"/>
                <w:highlight w:val="none"/>
              </w:rPr>
              <w:t>0 分。其他供应商的价格分统一按照下列公式计算：</w:t>
            </w:r>
          </w:p>
          <w:p>
            <w:pPr>
              <w:ind w:firstLine="480" w:firstLineChars="200"/>
              <w:rPr>
                <w:rFonts w:ascii="宋体" w:hAnsi="宋体" w:cs="宋体"/>
                <w:color w:val="auto"/>
                <w:kern w:val="0"/>
                <w:sz w:val="24"/>
                <w:szCs w:val="24"/>
                <w:highlight w:val="none"/>
                <w:lang w:bidi="ar"/>
              </w:rPr>
            </w:pPr>
            <w:r>
              <w:rPr>
                <w:rFonts w:hint="eastAsia" w:ascii="宋体" w:hAnsi="宋体"/>
                <w:color w:val="auto"/>
                <w:sz w:val="24"/>
                <w:highlight w:val="none"/>
              </w:rPr>
              <w:t xml:space="preserve">最后报价得分＝（评标基准价/最后报价）× </w:t>
            </w:r>
            <w:r>
              <w:rPr>
                <w:rFonts w:hint="eastAsia" w:ascii="宋体" w:hAnsi="宋体"/>
                <w:color w:val="auto"/>
                <w:sz w:val="24"/>
                <w:highlight w:val="none"/>
                <w:lang w:val="en-US" w:eastAsia="zh-CN"/>
              </w:rPr>
              <w:t>3</w:t>
            </w:r>
            <w:r>
              <w:rPr>
                <w:rFonts w:hint="eastAsia" w:ascii="宋体" w:hAnsi="宋体"/>
                <w:color w:val="auto"/>
                <w:sz w:val="24"/>
                <w:highlight w:val="none"/>
              </w:rPr>
              <w:t>0 ％×100</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分</w:t>
            </w:r>
          </w:p>
        </w:tc>
      </w:tr>
    </w:tbl>
    <w:p>
      <w:pPr>
        <w:pStyle w:val="26"/>
        <w:tabs>
          <w:tab w:val="left" w:pos="1670"/>
        </w:tabs>
        <w:autoSpaceDE w:val="0"/>
        <w:autoSpaceDN w:val="0"/>
        <w:spacing w:before="160" w:line="360" w:lineRule="auto"/>
        <w:ind w:right="570" w:firstLine="0" w:firstLineChars="0"/>
        <w:rPr>
          <w:rFonts w:ascii="宋体" w:hAnsi="宋体"/>
          <w:color w:val="auto"/>
          <w:szCs w:val="21"/>
          <w:highlight w:val="none"/>
        </w:rPr>
      </w:pPr>
    </w:p>
    <w:p>
      <w:pPr>
        <w:spacing w:line="360" w:lineRule="auto"/>
        <w:ind w:firstLine="472" w:firstLineChars="196"/>
        <w:rPr>
          <w:color w:val="auto"/>
          <w:sz w:val="24"/>
          <w:highlight w:val="none"/>
        </w:rPr>
      </w:pPr>
      <w:bookmarkStart w:id="118" w:name="_Toc18392"/>
      <w:r>
        <w:rPr>
          <w:rFonts w:hint="eastAsia" w:ascii="宋体" w:hAnsi="宋体" w:cs="宋体"/>
          <w:b/>
          <w:bCs/>
          <w:color w:val="auto"/>
          <w:sz w:val="24"/>
          <w:highlight w:val="none"/>
          <w:lang w:val="zh-CN"/>
        </w:rPr>
        <w:t>本项目采用综合评分法，总分为100分，按评审后综合得分由高到低顺序排列，由磋商小组推荐1-3个成交候选人，得分相同的，按最终响应报价由低到高顺序排列，得分且最终响应报价都相同的，由采购人以抽签的形式确定排序。</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1.磋商小组依据本章磋商标准规定对磋商响应文件进行评审。</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磋商原则</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遵循公平、公正、科学、择优的原则。</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磋商小组组成及职责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3.1磋商小组</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磋商小组由采购人依法自行组建。</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磋商小组的职责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应当根据磋商办法，对磋商响应文件进行评审和比较，向采购人推荐1-3成交候选人或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pPr>
        <w:spacing w:line="336" w:lineRule="auto"/>
        <w:ind w:firstLine="480" w:firstLineChars="200"/>
        <w:rPr>
          <w:rFonts w:ascii="宋体" w:hAnsi="宋体" w:cs="宋体"/>
          <w:color w:val="auto"/>
          <w:sz w:val="24"/>
          <w:highlight w:val="none"/>
        </w:rPr>
      </w:pPr>
      <w:bookmarkStart w:id="119" w:name="_Toc416271966"/>
      <w:bookmarkStart w:id="120" w:name="_Toc416271437"/>
      <w:bookmarkStart w:id="121" w:name="_Toc394241257"/>
      <w:bookmarkStart w:id="122" w:name="_Toc412647649"/>
      <w:bookmarkStart w:id="123" w:name="_Toc422395180"/>
      <w:bookmarkStart w:id="124" w:name="_Toc402855790"/>
      <w:bookmarkStart w:id="125" w:name="_Toc402426883"/>
      <w:bookmarkStart w:id="126" w:name="_Toc246996982"/>
      <w:bookmarkStart w:id="127" w:name="_Toc247085754"/>
      <w:bookmarkStart w:id="128" w:name="_Toc246996239"/>
      <w:bookmarkStart w:id="129" w:name="_Toc296602484"/>
      <w:bookmarkStart w:id="130" w:name="_Toc144974563"/>
      <w:bookmarkStart w:id="131" w:name="_Toc152042373"/>
      <w:bookmarkStart w:id="132" w:name="_Toc179632614"/>
      <w:bookmarkStart w:id="133" w:name="_Toc152045596"/>
      <w:r>
        <w:rPr>
          <w:rFonts w:hint="eastAsia" w:ascii="宋体" w:hAnsi="宋体" w:cs="宋体"/>
          <w:color w:val="auto"/>
          <w:sz w:val="24"/>
          <w:highlight w:val="none"/>
        </w:rPr>
        <w:t>4. 磋商程序</w:t>
      </w:r>
      <w:bookmarkEnd w:id="119"/>
      <w:bookmarkEnd w:id="120"/>
      <w:bookmarkEnd w:id="121"/>
      <w:bookmarkEnd w:id="122"/>
      <w:bookmarkEnd w:id="123"/>
      <w:bookmarkEnd w:id="124"/>
      <w:bookmarkEnd w:id="125"/>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磋商准备、初步评审（</w:t>
      </w:r>
      <w:r>
        <w:rPr>
          <w:rFonts w:hint="eastAsia" w:ascii="宋体" w:hAnsi="宋体" w:cs="宋体"/>
          <w:color w:val="auto"/>
          <w:kern w:val="0"/>
          <w:sz w:val="24"/>
          <w:highlight w:val="none"/>
        </w:rPr>
        <w:t>初审指标评审</w:t>
      </w:r>
      <w:r>
        <w:rPr>
          <w:rFonts w:hint="eastAsia" w:ascii="宋体" w:hAnsi="宋体" w:cs="宋体"/>
          <w:color w:val="auto"/>
          <w:sz w:val="24"/>
          <w:highlight w:val="none"/>
        </w:rPr>
        <w:t>）、详细评审。</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4.1磋商准备</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磋商小组熟悉磋商工作情况：</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(1)听取采购人或者其委托的采购代理机构对竞争性磋商项目情况的介绍。</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(3)熟悉竞争性磋商文件规定的磋商标准和磋商方法及在磋商过程中需要考虑的相关因素。</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(4)核对磋商工作用表。</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4.2初步评审</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磋商小组依据上述标准对磋商响应文件进行初步评审。</w:t>
      </w:r>
      <w:r>
        <w:rPr>
          <w:rFonts w:hint="eastAsia" w:ascii="宋体" w:hAnsi="宋体" w:cs="宋体"/>
          <w:b/>
          <w:color w:val="auto"/>
          <w:sz w:val="24"/>
          <w:highlight w:val="none"/>
        </w:rPr>
        <w:t>有一项不符合评审标准的</w:t>
      </w:r>
      <w:r>
        <w:rPr>
          <w:rFonts w:hint="eastAsia" w:ascii="宋体" w:hAnsi="宋体" w:cs="宋体"/>
          <w:color w:val="auto"/>
          <w:sz w:val="24"/>
          <w:highlight w:val="none"/>
        </w:rPr>
        <w:t>，视为未通过，不得进入磋商程序，磋商响应文件作无效标处理。</w:t>
      </w:r>
    </w:p>
    <w:bookmarkEnd w:id="126"/>
    <w:bookmarkEnd w:id="127"/>
    <w:bookmarkEnd w:id="128"/>
    <w:bookmarkEnd w:id="129"/>
    <w:bookmarkEnd w:id="130"/>
    <w:bookmarkEnd w:id="131"/>
    <w:bookmarkEnd w:id="132"/>
    <w:bookmarkEnd w:id="133"/>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4.3磋商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本项目磋商小组分别与各供应商进行磋商。在正式磋商前，对各供应商的资格条件、响应文件的有效性、完整性和响应程度进行审查，审查的内容包括供应商营业执照和特定资格条件证明文件、供应商法定代表人身份证明书和授权代表委托书身份证明等。各供应商只有在完全符合磋商要求的前提下，才能参与正式磋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2、在磋商过程中磋商的任何一方不得向他人透露与磋商有关的技术资料、价格或其他信息。</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4、所有供应商在磋商时做出的所有书面承诺须由供应商法人授权代表签字。</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规定报价次数为两次。磋商结束后，磋商小组要求通过初步评审的供应商在规定的时间内同时书面提出二次报价及有关承诺（填写《第二次报价表》并现场递交）。已提交响应文件的供应商，在提交第二次报价之前退出磋商的或超出规定时间没有进行第二次报价的供应商，均视为放弃第二次报价，以供应商的响应文件报价(第一次报价)为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 推荐成交候选人：</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4.4.1经初步评审、详细评审后，按综合得分由高到低的次序推荐1～3名成交候选人。</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4.4.1成交候选人在公示期间接受社会监督，一经发现涉嫌伪造现象，将取消其成交资格，磋商保证金将予以没收。为便于对弄虚作假行为查实，更好的对成交人进行监督管理。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 磋商响应文件的澄清和补正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5.3.1在磋商过程中，磋商小组应以书面形式要求供应商对所提交的磋商响应文件中不明确的内容进行书面澄清或说明，或者对细微偏差进行补正。磋商小组不接受供应商主动提出的澄清、说明或补正。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5.3.2 澄清、说明和补正不得改变磋商响应文件的实质性内容。供应商的书面澄清、说明和补正属于磋商响应文件的组成部分。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5.3.3 磋商小组对供应商提交的澄清、说明或补正有疑问的，可以要求供应商进一步澄清、说明或补正，直至满足磋商小组的要求。</w:t>
      </w:r>
    </w:p>
    <w:p>
      <w:pPr>
        <w:spacing w:line="336" w:lineRule="auto"/>
        <w:ind w:firstLine="480" w:firstLineChars="200"/>
        <w:rPr>
          <w:rFonts w:ascii="宋体" w:hAnsi="宋体" w:cs="宋体"/>
          <w:color w:val="auto"/>
          <w:sz w:val="24"/>
          <w:highlight w:val="none"/>
        </w:rPr>
      </w:pPr>
      <w:bookmarkStart w:id="134" w:name="_Toc246996240"/>
      <w:bookmarkStart w:id="135" w:name="_Toc179632615"/>
      <w:bookmarkStart w:id="136" w:name="_Toc296602485"/>
      <w:bookmarkStart w:id="137" w:name="_Toc247085755"/>
      <w:bookmarkStart w:id="138" w:name="_Toc144974564"/>
      <w:bookmarkStart w:id="139" w:name="_Toc152045597"/>
      <w:bookmarkStart w:id="140" w:name="_Toc152042374"/>
      <w:bookmarkStart w:id="141" w:name="_Toc246996983"/>
      <w:r>
        <w:rPr>
          <w:rFonts w:hint="eastAsia" w:ascii="宋体" w:hAnsi="宋体" w:cs="宋体"/>
          <w:color w:val="auto"/>
          <w:sz w:val="24"/>
          <w:highlight w:val="none"/>
        </w:rPr>
        <w:t>5.4 磋商结果</w:t>
      </w:r>
      <w:bookmarkEnd w:id="134"/>
      <w:bookmarkEnd w:id="135"/>
      <w:bookmarkEnd w:id="136"/>
      <w:bookmarkEnd w:id="137"/>
      <w:bookmarkEnd w:id="138"/>
      <w:bookmarkEnd w:id="139"/>
      <w:bookmarkEnd w:id="140"/>
      <w:bookmarkEnd w:id="141"/>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5.4.1除第二章“供应商须知”前附表授权直接确定成交供应商外，磋商小组按照评审结果推荐 1-3名成交候选人，并标明排列顺序。</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5.4.2 磋商小组完成磋商后，应当向采购人提交书面磋商报告。</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5.4.3依法必须进行招标的项目，采购人应当确定排名第一的成交候选人为成交供应商。排名第一的成交候选人放弃成交、因不可抗力提出不能履行合同，或者竞争性磋商文件规定应当提交履约保证金而在规定的期限内未能提交的，采购人可以确定排名第二的成交候选人为成交供应商,依次类推;或重新招标。</w:t>
      </w:r>
    </w:p>
    <w:p>
      <w:pPr>
        <w:spacing w:line="336" w:lineRule="auto"/>
        <w:ind w:firstLine="480" w:firstLineChars="200"/>
        <w:rPr>
          <w:rFonts w:cs="宋体"/>
          <w:bCs/>
          <w:color w:val="auto"/>
          <w:sz w:val="24"/>
          <w:szCs w:val="24"/>
          <w:highlight w:val="none"/>
          <w:u w:val="single"/>
        </w:rPr>
      </w:pPr>
      <w:r>
        <w:rPr>
          <w:rFonts w:hint="eastAsia" w:ascii="宋体" w:hAnsi="宋体" w:cs="宋体"/>
          <w:color w:val="auto"/>
          <w:sz w:val="24"/>
          <w:highlight w:val="none"/>
        </w:rPr>
        <w:t>5.4.4</w:t>
      </w:r>
      <w:r>
        <w:rPr>
          <w:rFonts w:hint="eastAsia" w:ascii="宋体" w:hAnsi="宋体"/>
          <w:color w:val="auto"/>
          <w:sz w:val="24"/>
          <w:highlight w:val="none"/>
        </w:rPr>
        <w:t>采购代理机构将在网站上发布评审结果公告，公告期为1个工作日，期满无异议则自动转为成交公告。</w:t>
      </w:r>
    </w:p>
    <w:p>
      <w:pPr>
        <w:numPr>
          <w:ilvl w:val="0"/>
          <w:numId w:val="8"/>
        </w:numPr>
        <w:spacing w:line="336" w:lineRule="auto"/>
        <w:ind w:firstLine="354" w:firstLineChars="147"/>
        <w:rPr>
          <w:rFonts w:ascii="宋体" w:hAnsi="宋体"/>
          <w:color w:val="auto"/>
          <w:sz w:val="24"/>
          <w:highlight w:val="none"/>
        </w:rPr>
      </w:pPr>
      <w:r>
        <w:rPr>
          <w:rFonts w:hint="eastAsia" w:ascii="宋体" w:hAnsi="宋体" w:cs="宋体"/>
          <w:b/>
          <w:color w:val="auto"/>
          <w:sz w:val="24"/>
          <w:highlight w:val="none"/>
        </w:rPr>
        <w:t>适用范围 ：</w:t>
      </w:r>
      <w:r>
        <w:rPr>
          <w:rFonts w:hint="eastAsia" w:ascii="宋体" w:hAnsi="宋体"/>
          <w:color w:val="auto"/>
          <w:sz w:val="24"/>
          <w:highlight w:val="none"/>
        </w:rPr>
        <w:t>适用于本项目。</w:t>
      </w: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4"/>
        <w:tabs>
          <w:tab w:val="left" w:pos="1127"/>
        </w:tabs>
        <w:jc w:val="center"/>
        <w:rPr>
          <w:rFonts w:ascii="宋体" w:hAnsi="宋体" w:cs="宋体"/>
          <w:color w:val="auto"/>
          <w:sz w:val="32"/>
          <w:szCs w:val="32"/>
          <w:highlight w:val="none"/>
        </w:rPr>
      </w:pPr>
      <w:r>
        <w:rPr>
          <w:rFonts w:hint="eastAsia" w:ascii="宋体" w:hAnsi="宋体" w:cs="宋体"/>
          <w:color w:val="auto"/>
          <w:sz w:val="32"/>
          <w:szCs w:val="32"/>
          <w:highlight w:val="none"/>
        </w:rPr>
        <w:t>第五章</w:t>
      </w:r>
      <w:r>
        <w:rPr>
          <w:rFonts w:hint="eastAsia" w:ascii="宋体" w:hAnsi="宋体" w:cs="宋体"/>
          <w:color w:val="auto"/>
          <w:sz w:val="32"/>
          <w:szCs w:val="32"/>
          <w:highlight w:val="none"/>
        </w:rPr>
        <w:tab/>
      </w:r>
      <w:r>
        <w:rPr>
          <w:rFonts w:hint="eastAsia" w:ascii="宋体" w:hAnsi="宋体" w:cs="宋体"/>
          <w:color w:val="auto"/>
          <w:sz w:val="32"/>
          <w:szCs w:val="32"/>
          <w:highlight w:val="none"/>
        </w:rPr>
        <w:t xml:space="preserve"> 政府采购合同</w:t>
      </w:r>
      <w:bookmarkEnd w:id="118"/>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政府采购货物类合同格式（参考）</w:t>
      </w:r>
    </w:p>
    <w:p>
      <w:pPr>
        <w:spacing w:line="360" w:lineRule="exact"/>
        <w:rPr>
          <w:rFonts w:ascii="宋体" w:hAnsi="宋体" w:cs="宋体"/>
          <w:color w:val="auto"/>
          <w:sz w:val="24"/>
          <w:szCs w:val="24"/>
          <w:highlight w:val="none"/>
        </w:rPr>
      </w:pP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采购人（甲方）：</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供货人（乙方）：</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签订地点：</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本项目经批准采用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第一条    产品的名称、规格、数量和价格</w:t>
      </w:r>
    </w:p>
    <w:tbl>
      <w:tblPr>
        <w:tblStyle w:val="1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2633"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787"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13"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967"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单价</w:t>
            </w:r>
          </w:p>
        </w:tc>
        <w:tc>
          <w:tcPr>
            <w:tcW w:w="900"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小计</w:t>
            </w:r>
          </w:p>
        </w:tc>
        <w:tc>
          <w:tcPr>
            <w:tcW w:w="878"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总合计</w:t>
            </w:r>
          </w:p>
        </w:tc>
        <w:tc>
          <w:tcPr>
            <w:tcW w:w="7178" w:type="dxa"/>
            <w:gridSpan w:val="6"/>
            <w:noWrap w:val="0"/>
            <w:vAlign w:val="top"/>
          </w:tcPr>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p>
        </w:tc>
      </w:tr>
    </w:tbl>
    <w:p>
      <w:pPr>
        <w:spacing w:line="360" w:lineRule="exact"/>
        <w:rPr>
          <w:rFonts w:hint="eastAsia" w:ascii="宋体" w:hAnsi="宋体" w:cs="宋体"/>
          <w:b/>
          <w:color w:val="auto"/>
          <w:sz w:val="24"/>
          <w:szCs w:val="24"/>
          <w:highlight w:val="none"/>
        </w:rPr>
      </w:pP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第二条    产品的技术标准（包括质量要求）；按下列第</w:t>
      </w:r>
      <w:r>
        <w:rPr>
          <w:rFonts w:hint="eastAsia" w:ascii="宋体" w:hAnsi="宋体" w:cs="宋体"/>
          <w:b/>
          <w:color w:val="auto"/>
          <w:sz w:val="24"/>
          <w:szCs w:val="24"/>
          <w:highlight w:val="none"/>
          <w:u w:val="single"/>
        </w:rPr>
        <w:t>（  ）</w:t>
      </w:r>
      <w:r>
        <w:rPr>
          <w:rFonts w:hint="eastAsia" w:ascii="宋体" w:hAnsi="宋体" w:cs="宋体"/>
          <w:b/>
          <w:color w:val="auto"/>
          <w:sz w:val="24"/>
          <w:szCs w:val="24"/>
          <w:highlight w:val="none"/>
        </w:rPr>
        <w:t>项执行：</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（1）按国家标准执行；（</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）若无以上标准，则应不低于同行业质量标准；（</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）有特殊要求的，按甲乙双方在合同中商定的技术条件、样品或补充的技术要求执行；</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第三条    产品的交货方法、到货地点和交货期限</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1、交货方法，按下列第</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项执行：</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（1）乙方送货上门；（2）乙方代运；（3）甲方自提自运。</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2、到货地点：</w:t>
      </w:r>
      <w:r>
        <w:rPr>
          <w:rFonts w:hint="eastAsia" w:ascii="宋体" w:hAnsi="宋体" w:cs="宋体"/>
          <w:color w:val="auto"/>
          <w:sz w:val="24"/>
          <w:szCs w:val="24"/>
          <w:highlight w:val="none"/>
          <w:u w:val="single"/>
        </w:rPr>
        <w:t xml:space="preserve">                             </w:t>
      </w:r>
    </w:p>
    <w:p>
      <w:pPr>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3、产品交货期限：</w:t>
      </w:r>
      <w:r>
        <w:rPr>
          <w:rFonts w:hint="eastAsia" w:ascii="宋体" w:hAnsi="宋体" w:cs="宋体"/>
          <w:color w:val="auto"/>
          <w:sz w:val="24"/>
          <w:szCs w:val="24"/>
          <w:highlight w:val="none"/>
          <w:u w:val="single"/>
        </w:rPr>
        <w:t xml:space="preserve">                         </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第四条    合同总价款</w:t>
      </w:r>
    </w:p>
    <w:p>
      <w:pPr>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合同总价款（大小写）：</w:t>
      </w:r>
      <w:r>
        <w:rPr>
          <w:rFonts w:hint="eastAsia" w:ascii="宋体" w:hAnsi="宋体" w:cs="宋体"/>
          <w:color w:val="auto"/>
          <w:sz w:val="24"/>
          <w:szCs w:val="24"/>
          <w:highlight w:val="none"/>
          <w:u w:val="single"/>
        </w:rPr>
        <w:t xml:space="preserve">                                      </w:t>
      </w:r>
    </w:p>
    <w:p>
      <w:pPr>
        <w:pStyle w:val="2"/>
        <w:ind w:left="0" w:leftChars="0" w:firstLine="0" w:firstLineChars="0"/>
      </w:pP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第五条    付款方式：本合同以人民币付款</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在乙方提供货物，验收合格后，由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支付相应的货款。</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货款支付方式：</w:t>
      </w:r>
      <w:r>
        <w:rPr>
          <w:rFonts w:hint="eastAsia" w:ascii="宋体" w:hAnsi="宋体" w:cs="宋体"/>
          <w:color w:val="auto"/>
          <w:sz w:val="24"/>
          <w:szCs w:val="24"/>
          <w:highlight w:val="none"/>
          <w:lang w:eastAsia="zh-CN"/>
        </w:rPr>
        <w:t>合同签订后至货物进场时第一次付至合同总价的 50%,产品安装调试完毕后第二次付至合同总价的 70%,验收合格后第三次付至合同总价的 95%，余款 5%为质保金，一年后无质量问题一次性无息付清</w:t>
      </w:r>
      <w:r>
        <w:rPr>
          <w:rFonts w:hint="eastAsia" w:ascii="宋体" w:hAnsi="宋体" w:cs="宋体"/>
          <w:color w:val="auto"/>
          <w:sz w:val="24"/>
          <w:szCs w:val="24"/>
          <w:highlight w:val="none"/>
        </w:rPr>
        <w:t>。</w:t>
      </w:r>
    </w:p>
    <w:p>
      <w:pPr>
        <w:spacing w:line="540" w:lineRule="exact"/>
        <w:rPr>
          <w:rFonts w:ascii="宋体" w:hAnsi="宋体" w:cs="宋体"/>
          <w:b/>
          <w:color w:val="auto"/>
          <w:sz w:val="24"/>
          <w:szCs w:val="24"/>
          <w:highlight w:val="none"/>
        </w:rPr>
      </w:pPr>
      <w:r>
        <w:rPr>
          <w:rFonts w:hint="eastAsia" w:ascii="宋体" w:hAnsi="宋体" w:cs="宋体"/>
          <w:b/>
          <w:color w:val="auto"/>
          <w:sz w:val="24"/>
          <w:szCs w:val="24"/>
          <w:highlight w:val="none"/>
        </w:rPr>
        <w:t>第六条    验收方法</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乙方提供货物后，在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天内通知甲方组织验收，采购中心保留参与本项目验收的权利。验收不合格的，乙方应负责重新提供达到本合同约定的质量要求的产品。</w:t>
      </w:r>
    </w:p>
    <w:p>
      <w:pPr>
        <w:pStyle w:val="13"/>
        <w:spacing w:line="360" w:lineRule="exact"/>
        <w:ind w:left="420"/>
        <w:rPr>
          <w:rFonts w:ascii="宋体" w:hAnsi="宋体" w:cs="宋体"/>
          <w:color w:val="auto"/>
          <w:sz w:val="24"/>
          <w:szCs w:val="24"/>
          <w:highlight w:val="none"/>
        </w:rPr>
      </w:pPr>
      <w:r>
        <w:rPr>
          <w:rFonts w:hint="eastAsia" w:ascii="宋体" w:hAnsi="宋体" w:cs="宋体"/>
          <w:color w:val="auto"/>
          <w:sz w:val="24"/>
          <w:szCs w:val="24"/>
          <w:highlight w:val="none"/>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第七条    违约责任</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1、乙方不能交货的，应向甲方偿付不能交货部分货款的</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（通用产品的幅度为1%－5%，专用产品的幅度为10%－30%）的违约金。</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3、甲方中途退货，应向乙方偿付退货部分货款</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（通用产品的幅度为1%-5%专用产品的幅度为10%-30%）的违约金。</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4、甲方违反合同规定拒绝接货的，应当承担由此造成的损失。</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5、任何一方未经对方同意而单方面终止合同的，应向对方赔偿相当于本合同总价款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违约金。</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第八条    合同生效</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第九条    售后服务及技术支持</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1、保修</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乙方对其所提供的货物免费保修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年，保修期从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开始。乙方应在接到报修通知后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小时内上门维修，负责更换有瑕疵的货物、部件或提供相应的质量保证期内的服务。由此造成的损失，甲方保留索赔的权利。</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如果乙方在收到报修通知后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小时内没有弥补缺陷，甲方可采取必要的补救措施，但费用和风险由乙方承担。</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2、维修</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保修期届满后，乙方应对其提供的货物负有维修义务，但所涉及的费用由甲方承担。</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第九条    合同有效期</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日有效</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第十条    其他</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本合同如发生纠纷，当事人双方应当及时协商解决，协商不成时，任何一方均可按以下第</w:t>
      </w:r>
      <w:r>
        <w:rPr>
          <w:rFonts w:hint="eastAsia" w:ascii="宋体" w:hAnsi="宋体" w:cs="宋体"/>
          <w:color w:val="auto"/>
          <w:sz w:val="24"/>
          <w:szCs w:val="24"/>
          <w:u w:val="single"/>
        </w:rPr>
        <w:t>（</w:t>
      </w:r>
      <w:r>
        <w:rPr>
          <w:rFonts w:ascii="宋体" w:hAnsi="宋体" w:cs="宋体"/>
          <w:color w:val="auto"/>
          <w:sz w:val="24"/>
          <w:szCs w:val="24"/>
          <w:u w:val="single"/>
        </w:rPr>
        <w:t>2</w:t>
      </w:r>
      <w:r>
        <w:rPr>
          <w:rFonts w:hint="eastAsia" w:ascii="宋体" w:hAnsi="宋体" w:cs="宋体"/>
          <w:color w:val="auto"/>
          <w:sz w:val="24"/>
          <w:szCs w:val="24"/>
          <w:u w:val="single"/>
        </w:rPr>
        <w:t>）</w:t>
      </w:r>
      <w:r>
        <w:rPr>
          <w:rFonts w:hint="eastAsia" w:ascii="宋体" w:hAnsi="宋体" w:cs="宋体"/>
          <w:color w:val="auto"/>
          <w:sz w:val="24"/>
          <w:szCs w:val="24"/>
        </w:rPr>
        <w:t>项方式处理：（1）根据《中华人民共和国仲裁法》的规定向阜阳市仲裁委员会申请仲裁。（2）向合同签订地有管辖权的人民法院起诉。</w:t>
      </w:r>
    </w:p>
    <w:p>
      <w:pPr>
        <w:spacing w:line="360" w:lineRule="exact"/>
        <w:rPr>
          <w:rFonts w:ascii="宋体" w:hAnsi="宋体" w:cs="宋体"/>
          <w:b/>
          <w:color w:val="auto"/>
          <w:sz w:val="24"/>
          <w:szCs w:val="24"/>
        </w:rPr>
      </w:pPr>
      <w:r>
        <w:rPr>
          <w:rFonts w:hint="eastAsia" w:ascii="宋体" w:hAnsi="宋体" w:cs="宋体"/>
          <w:b/>
          <w:color w:val="auto"/>
          <w:sz w:val="24"/>
          <w:szCs w:val="24"/>
        </w:rPr>
        <w:t>第十一条    合同附件及其效力</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下列文件作为合同附件，与合同具有同等法律效力，顺序在前的具有优先解释权；</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（1）采购文件；（2）报价文件；（3）通知书… …</w:t>
      </w:r>
    </w:p>
    <w:p>
      <w:pPr>
        <w:spacing w:line="360" w:lineRule="exact"/>
        <w:rPr>
          <w:rFonts w:ascii="宋体" w:hAnsi="宋体" w:cs="宋体"/>
          <w:b/>
          <w:color w:val="auto"/>
          <w:sz w:val="24"/>
          <w:szCs w:val="24"/>
        </w:rPr>
      </w:pPr>
      <w:r>
        <w:rPr>
          <w:rFonts w:hint="eastAsia" w:ascii="宋体" w:hAnsi="宋体" w:cs="宋体"/>
          <w:b/>
          <w:color w:val="auto"/>
          <w:sz w:val="24"/>
          <w:szCs w:val="24"/>
        </w:rPr>
        <w:t>第十二条    其他</w:t>
      </w:r>
    </w:p>
    <w:p>
      <w:pPr>
        <w:pStyle w:val="2"/>
        <w:ind w:firstLine="240"/>
        <w:rPr>
          <w:rFonts w:eastAsia="仿宋"/>
          <w:color w:val="auto"/>
          <w:lang w:val="en-US"/>
        </w:rPr>
      </w:pPr>
      <w:r>
        <w:rPr>
          <w:rFonts w:hint="eastAsia" w:ascii="宋体" w:hAnsi="宋体"/>
          <w:color w:val="auto"/>
          <w:kern w:val="2"/>
          <w:sz w:val="24"/>
          <w:lang w:val="en-US" w:bidi="ar-SA"/>
        </w:rPr>
        <w:t>鉴于甲方采购空调安装涉及高空作业，甲方在乙方进行空调安装施工时，甲方有权对乙方进行监督、检查；作业过程中如出现人员伤害情况，甲方有义务协助乙方做好事故的处理工作，防止事故的扩大化，协助相关部门做好事故的调查取证工作，但期间发生的一切费用由乙方承担；本次空调安装施工过程中，乙方必须设立专职安全员，负责作业人员的安全防护告知，安全操作规程培训；乙方在安装作业过程中，应做好安全防护措施，遵守国家高空作业相关规章制度，对于安装作业时发现的安全隐患，及时上报甲方并采取措施，予以消除；乙方在安装作业过程中，出现一切安全责任事故，将由乙方承担全部责任，若造成损失，乙方赔偿全部损失；乙方所使用的工具应对其安全防护措施负责并承担安全责任。发现安全吊绳、安全吊板、安全带如有损坏必须更换，因此引起的事故，乙方负全部责任。</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第十三条    本合同共</w:t>
      </w:r>
      <w:r>
        <w:rPr>
          <w:rFonts w:hint="eastAsia" w:ascii="宋体" w:hAnsi="宋体" w:cs="宋体"/>
          <w:b/>
          <w:color w:val="auto"/>
          <w:sz w:val="24"/>
          <w:szCs w:val="24"/>
          <w:highlight w:val="none"/>
          <w:u w:val="single"/>
        </w:rPr>
        <w:t>叁</w:t>
      </w:r>
      <w:r>
        <w:rPr>
          <w:rFonts w:hint="eastAsia" w:ascii="宋体" w:hAnsi="宋体" w:cs="宋体"/>
          <w:b/>
          <w:color w:val="auto"/>
          <w:sz w:val="24"/>
          <w:szCs w:val="24"/>
          <w:highlight w:val="none"/>
        </w:rPr>
        <w:t>页，壹拾叁条。</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采购人（甲方）：                          供货人（乙方）：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（公章）                                （公章）</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                             法定代表人：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电话：                                    电话：</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left"/>
        <w:rPr>
          <w:rFonts w:ascii="宋体" w:hAnsi="宋体" w:cs="宋体"/>
          <w:color w:val="auto"/>
          <w:highlight w:val="none"/>
        </w:rPr>
      </w:pPr>
    </w:p>
    <w:p>
      <w:pPr>
        <w:pStyle w:val="11"/>
        <w:rPr>
          <w:color w:val="auto"/>
          <w:highlight w:val="none"/>
        </w:rPr>
      </w:pPr>
      <w:bookmarkStart w:id="142" w:name="_Toc5404"/>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4"/>
        <w:numPr>
          <w:ilvl w:val="0"/>
          <w:numId w:val="9"/>
        </w:numPr>
        <w:tabs>
          <w:tab w:val="left" w:pos="1127"/>
        </w:tabs>
        <w:spacing w:before="158"/>
        <w:jc w:val="center"/>
        <w:rPr>
          <w:rFonts w:ascii="宋体" w:hAnsi="宋体"/>
          <w:color w:val="auto"/>
          <w:sz w:val="32"/>
          <w:szCs w:val="32"/>
          <w:highlight w:val="none"/>
        </w:rPr>
      </w:pPr>
      <w:r>
        <w:rPr>
          <w:rFonts w:hint="eastAsia" w:ascii="宋体" w:hAnsi="宋体"/>
          <w:color w:val="auto"/>
          <w:sz w:val="32"/>
          <w:szCs w:val="32"/>
          <w:highlight w:val="none"/>
        </w:rPr>
        <w:t xml:space="preserve"> </w:t>
      </w:r>
      <w:r>
        <w:rPr>
          <w:rFonts w:ascii="宋体" w:hAnsi="宋体"/>
          <w:color w:val="auto"/>
          <w:sz w:val="32"/>
          <w:szCs w:val="32"/>
          <w:highlight w:val="none"/>
        </w:rPr>
        <w:t>响应文件格式</w:t>
      </w:r>
      <w:bookmarkEnd w:id="142"/>
    </w:p>
    <w:p>
      <w:pPr>
        <w:jc w:val="right"/>
        <w:rPr>
          <w:rFonts w:ascii="宋体" w:hAnsi="宋体" w:cs="宋体"/>
          <w:b/>
          <w:bCs/>
          <w:color w:val="auto"/>
          <w:kern w:val="44"/>
          <w:sz w:val="24"/>
          <w:szCs w:val="44"/>
          <w:highlight w:val="none"/>
        </w:rPr>
      </w:pPr>
      <w:r>
        <w:rPr>
          <w:rFonts w:hint="eastAsia" w:ascii="宋体" w:hAnsi="宋体" w:cs="宋体"/>
          <w:b/>
          <w:bCs/>
          <w:color w:val="auto"/>
          <w:kern w:val="44"/>
          <w:sz w:val="24"/>
          <w:szCs w:val="44"/>
          <w:highlight w:val="none"/>
        </w:rPr>
        <w:t>正/副本</w:t>
      </w:r>
    </w:p>
    <w:p>
      <w:pPr>
        <w:pStyle w:val="11"/>
        <w:rPr>
          <w:color w:val="auto"/>
          <w:highlight w:val="none"/>
        </w:rPr>
      </w:pPr>
    </w:p>
    <w:p>
      <w:pPr>
        <w:jc w:val="center"/>
        <w:rPr>
          <w:rFonts w:ascii="宋体" w:hAnsi="宋体" w:cs="Arial"/>
          <w:color w:val="auto"/>
          <w:sz w:val="28"/>
          <w:szCs w:val="28"/>
          <w:highlight w:val="none"/>
        </w:rPr>
      </w:pPr>
      <w:bookmarkStart w:id="143" w:name="_Toc13756_WPSOffice_Level1"/>
      <w:bookmarkStart w:id="144" w:name="_Toc32338_WPSOffice_Level1"/>
      <w:r>
        <w:rPr>
          <w:rFonts w:hint="eastAsia" w:ascii="宋体" w:hAnsi="宋体"/>
          <w:color w:val="auto"/>
          <w:sz w:val="28"/>
          <w:szCs w:val="28"/>
          <w:highlight w:val="none"/>
          <w:u w:val="single"/>
        </w:rPr>
        <w:t>（项目名称）</w:t>
      </w:r>
      <w:bookmarkEnd w:id="143"/>
      <w:bookmarkEnd w:id="144"/>
    </w:p>
    <w:p>
      <w:pPr>
        <w:jc w:val="center"/>
        <w:rPr>
          <w:rFonts w:ascii="宋体" w:hAnsi="宋体" w:cs="Arial"/>
          <w:b/>
          <w:color w:val="auto"/>
          <w:sz w:val="28"/>
          <w:szCs w:val="28"/>
          <w:highlight w:val="none"/>
        </w:rPr>
      </w:pPr>
      <w:bookmarkStart w:id="145" w:name="_Hlk450146333"/>
    </w:p>
    <w:p>
      <w:pPr>
        <w:jc w:val="center"/>
        <w:rPr>
          <w:rFonts w:ascii="宋体" w:hAnsi="宋体" w:cs="Arial"/>
          <w:b/>
          <w:color w:val="auto"/>
          <w:sz w:val="28"/>
          <w:szCs w:val="28"/>
          <w:highlight w:val="none"/>
        </w:rPr>
      </w:pPr>
      <w:bookmarkStart w:id="146" w:name="_Toc361_WPSOffice_Level1"/>
      <w:bookmarkStart w:id="147" w:name="_Toc18887_WPSOffice_Level1"/>
      <w:r>
        <w:rPr>
          <w:rFonts w:hint="eastAsia" w:ascii="宋体" w:hAnsi="宋体" w:cs="Arial"/>
          <w:b/>
          <w:color w:val="auto"/>
          <w:sz w:val="28"/>
          <w:szCs w:val="28"/>
          <w:highlight w:val="none"/>
        </w:rPr>
        <w:t xml:space="preserve">响 应 </w:t>
      </w:r>
      <w:bookmarkEnd w:id="145"/>
      <w:r>
        <w:rPr>
          <w:rFonts w:hint="eastAsia" w:ascii="宋体" w:hAnsi="宋体" w:cs="Arial"/>
          <w:b/>
          <w:color w:val="auto"/>
          <w:sz w:val="28"/>
          <w:szCs w:val="28"/>
          <w:highlight w:val="none"/>
        </w:rPr>
        <w:t>文 件</w:t>
      </w:r>
      <w:bookmarkEnd w:id="146"/>
      <w:bookmarkEnd w:id="147"/>
    </w:p>
    <w:p>
      <w:pPr>
        <w:rPr>
          <w:rFonts w:ascii="宋体" w:hAnsi="宋体" w:cs="Arial"/>
          <w:color w:val="auto"/>
          <w:sz w:val="28"/>
          <w:szCs w:val="28"/>
          <w:highlight w:val="none"/>
        </w:rPr>
      </w:pPr>
      <w:r>
        <w:rPr>
          <w:rFonts w:hint="eastAsia" w:ascii="宋体" w:hAnsi="宋体" w:cs="Arial"/>
          <w:color w:val="auto"/>
          <w:sz w:val="28"/>
          <w:szCs w:val="28"/>
          <w:highlight w:val="none"/>
        </w:rPr>
        <w:t xml:space="preserve">               </w:t>
      </w:r>
    </w:p>
    <w:p>
      <w:pPr>
        <w:rPr>
          <w:rFonts w:ascii="宋体" w:hAnsi="宋体" w:cs="Arial"/>
          <w:color w:val="auto"/>
          <w:sz w:val="28"/>
          <w:szCs w:val="28"/>
          <w:highlight w:val="none"/>
        </w:rPr>
      </w:pPr>
    </w:p>
    <w:p>
      <w:pPr>
        <w:jc w:val="center"/>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ind w:firstLine="1120" w:firstLineChars="400"/>
        <w:rPr>
          <w:rFonts w:ascii="宋体" w:hAnsi="宋体"/>
          <w:color w:val="auto"/>
          <w:sz w:val="28"/>
          <w:szCs w:val="28"/>
          <w:highlight w:val="none"/>
          <w:u w:val="single"/>
        </w:rPr>
      </w:pPr>
      <w:bookmarkStart w:id="148" w:name="_Toc4204_WPSOffice_Level1"/>
      <w:bookmarkStart w:id="149" w:name="_Toc13389_WPSOffice_Level1"/>
      <w:r>
        <w:rPr>
          <w:rFonts w:hint="eastAsia" w:ascii="宋体" w:hAnsi="宋体" w:cs="Arial"/>
          <w:color w:val="auto"/>
          <w:sz w:val="28"/>
          <w:szCs w:val="28"/>
          <w:highlight w:val="none"/>
        </w:rPr>
        <w:t>采购人：</w:t>
      </w:r>
      <w:bookmarkEnd w:id="148"/>
      <w:bookmarkEnd w:id="149"/>
      <w:r>
        <w:rPr>
          <w:rFonts w:hint="eastAsia" w:ascii="宋体" w:hAnsi="宋体"/>
          <w:color w:val="auto"/>
          <w:sz w:val="28"/>
          <w:szCs w:val="28"/>
          <w:highlight w:val="none"/>
          <w:u w:val="single"/>
        </w:rPr>
        <w:t xml:space="preserve">                               </w:t>
      </w:r>
    </w:p>
    <w:p>
      <w:pPr>
        <w:ind w:firstLine="1540" w:firstLineChars="550"/>
        <w:rPr>
          <w:rFonts w:ascii="宋体" w:hAnsi="宋体" w:cs="Arial"/>
          <w:color w:val="auto"/>
          <w:sz w:val="28"/>
          <w:szCs w:val="28"/>
          <w:highlight w:val="none"/>
        </w:rPr>
      </w:pPr>
    </w:p>
    <w:p>
      <w:pPr>
        <w:spacing w:line="460" w:lineRule="exact"/>
        <w:ind w:firstLine="1120" w:firstLineChars="400"/>
        <w:rPr>
          <w:rFonts w:ascii="宋体" w:hAnsi="宋体"/>
          <w:color w:val="auto"/>
          <w:sz w:val="28"/>
          <w:szCs w:val="28"/>
          <w:highlight w:val="none"/>
        </w:rPr>
      </w:pPr>
      <w:bookmarkStart w:id="150" w:name="_Toc23736_WPSOffice_Level1"/>
      <w:bookmarkStart w:id="151" w:name="_Toc22977_WPSOffice_Level1"/>
      <w:r>
        <w:rPr>
          <w:rFonts w:hint="eastAsia" w:ascii="宋体" w:hAnsi="宋体"/>
          <w:color w:val="auto"/>
          <w:sz w:val="28"/>
          <w:szCs w:val="28"/>
          <w:highlight w:val="none"/>
        </w:rPr>
        <w:t>供应商：</w:t>
      </w:r>
      <w:r>
        <w:rPr>
          <w:rFonts w:hint="eastAsia" w:ascii="宋体" w:hAnsi="宋体"/>
          <w:color w:val="auto"/>
          <w:sz w:val="28"/>
          <w:szCs w:val="28"/>
          <w:highlight w:val="none"/>
          <w:u w:val="single"/>
        </w:rPr>
        <w:t xml:space="preserve">                             </w:t>
      </w:r>
      <w:bookmarkEnd w:id="150"/>
      <w:bookmarkEnd w:id="151"/>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spacing w:line="460" w:lineRule="exact"/>
        <w:ind w:firstLine="854" w:firstLineChars="305"/>
        <w:rPr>
          <w:rFonts w:ascii="宋体" w:hAnsi="宋体"/>
          <w:color w:val="auto"/>
          <w:sz w:val="28"/>
          <w:szCs w:val="28"/>
          <w:highlight w:val="none"/>
          <w:u w:val="single"/>
        </w:rPr>
      </w:pPr>
    </w:p>
    <w:p>
      <w:pPr>
        <w:spacing w:line="460" w:lineRule="exact"/>
        <w:ind w:firstLine="854" w:firstLineChars="305"/>
        <w:rPr>
          <w:rFonts w:ascii="宋体" w:hAnsi="宋体"/>
          <w:color w:val="auto"/>
          <w:sz w:val="28"/>
          <w:szCs w:val="28"/>
          <w:highlight w:val="none"/>
          <w:u w:val="single"/>
        </w:rPr>
      </w:pPr>
      <w:r>
        <w:rPr>
          <w:rFonts w:hint="eastAsia" w:ascii="宋体" w:hAnsi="宋体"/>
          <w:color w:val="auto"/>
          <w:sz w:val="28"/>
          <w:szCs w:val="28"/>
          <w:highlight w:val="none"/>
        </w:rPr>
        <w:t xml:space="preserve">  </w:t>
      </w:r>
      <w:bookmarkStart w:id="152" w:name="_Toc22449_WPSOffice_Level1"/>
      <w:bookmarkStart w:id="153" w:name="_Toc7448_WPSOffice_Level1"/>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bookmarkEnd w:id="152"/>
      <w:bookmarkEnd w:id="153"/>
    </w:p>
    <w:p>
      <w:pPr>
        <w:spacing w:line="460" w:lineRule="exact"/>
        <w:rPr>
          <w:rFonts w:ascii="宋体" w:hAnsi="宋体"/>
          <w:color w:val="auto"/>
          <w:sz w:val="28"/>
          <w:szCs w:val="28"/>
          <w:highlight w:val="none"/>
        </w:rPr>
      </w:pPr>
    </w:p>
    <w:p>
      <w:pPr>
        <w:spacing w:line="460" w:lineRule="exact"/>
        <w:ind w:firstLine="435"/>
        <w:jc w:val="center"/>
        <w:rPr>
          <w:rFonts w:ascii="宋体" w:hAnsi="宋体"/>
          <w:color w:val="auto"/>
          <w:sz w:val="28"/>
          <w:szCs w:val="28"/>
          <w:highlight w:val="none"/>
        </w:rPr>
      </w:pPr>
    </w:p>
    <w:p>
      <w:pPr>
        <w:spacing w:line="460" w:lineRule="exact"/>
        <w:ind w:firstLine="435"/>
        <w:jc w:val="center"/>
        <w:rPr>
          <w:rFonts w:ascii="宋体" w:hAnsi="宋体"/>
          <w:color w:val="auto"/>
          <w:sz w:val="28"/>
          <w:szCs w:val="28"/>
          <w:highlight w:val="none"/>
        </w:rPr>
      </w:pPr>
      <w:bookmarkStart w:id="154" w:name="_Toc11712_WPSOffice_Level2"/>
      <w:bookmarkStart w:id="155" w:name="_Toc17804_WPSOffice_Level2"/>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bookmarkEnd w:id="154"/>
      <w:bookmarkEnd w:id="155"/>
    </w:p>
    <w:p>
      <w:pPr>
        <w:rPr>
          <w:rFonts w:ascii="宋体" w:hAnsi="宋体" w:cs="Arial"/>
          <w:color w:val="auto"/>
          <w:sz w:val="28"/>
          <w:szCs w:val="28"/>
          <w:highlight w:val="none"/>
        </w:rPr>
      </w:pPr>
    </w:p>
    <w:p>
      <w:pPr>
        <w:jc w:val="center"/>
        <w:rPr>
          <w:rFonts w:ascii="宋体" w:hAnsi="宋体"/>
          <w:color w:val="auto"/>
          <w:sz w:val="32"/>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pStyle w:val="4"/>
        <w:spacing w:before="120" w:beforeLines="50" w:after="0" w:line="36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zh-CN"/>
        </w:rPr>
        <w:t>一、</w:t>
      </w:r>
      <w:r>
        <w:rPr>
          <w:rFonts w:hint="eastAsia" w:ascii="宋体" w:hAnsi="宋体" w:cs="宋体"/>
          <w:color w:val="auto"/>
          <w:sz w:val="28"/>
          <w:szCs w:val="28"/>
          <w:highlight w:val="none"/>
        </w:rPr>
        <w:t>磋商申请及申明</w:t>
      </w:r>
    </w:p>
    <w:p>
      <w:pPr>
        <w:spacing w:line="360" w:lineRule="exact"/>
        <w:rPr>
          <w:rFonts w:ascii="宋体" w:hAnsi="宋体" w:cs="宋体"/>
          <w:color w:val="auto"/>
          <w:sz w:val="24"/>
          <w:highlight w:val="none"/>
        </w:rPr>
      </w:pPr>
    </w:p>
    <w:p>
      <w:pPr>
        <w:spacing w:line="36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pPr>
        <w:spacing w:line="360" w:lineRule="exact"/>
        <w:rPr>
          <w:rFonts w:ascii="宋体" w:hAnsi="宋体" w:cs="宋体"/>
          <w:color w:val="auto"/>
          <w:sz w:val="24"/>
          <w:highlight w:val="none"/>
        </w:rPr>
      </w:pPr>
    </w:p>
    <w:p>
      <w:pPr>
        <w:numPr>
          <w:ilvl w:val="0"/>
          <w:numId w:val="10"/>
        </w:num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（项目名称）竞争性磋商文件的全部内容（含本项目答疑及补充通知），在考察现场后，</w:t>
      </w:r>
      <w:r>
        <w:rPr>
          <w:rFonts w:hint="eastAsia" w:ascii="宋体" w:hAnsi="宋体" w:cs="宋体"/>
          <w:snapToGrid w:val="0"/>
          <w:color w:val="auto"/>
          <w:sz w:val="24"/>
          <w:highlight w:val="none"/>
        </w:rPr>
        <w:t>我方愿以投标总价人民币（大写）</w:t>
      </w:r>
      <w:r>
        <w:rPr>
          <w:rFonts w:hint="eastAsia" w:ascii="宋体" w:hAnsi="宋体" w:cs="宋体"/>
          <w:snapToGrid w:val="0"/>
          <w:color w:val="auto"/>
          <w:sz w:val="24"/>
          <w:highlight w:val="none"/>
          <w:u w:val="single"/>
        </w:rPr>
        <w:tab/>
      </w:r>
      <w:r>
        <w:rPr>
          <w:rFonts w:hint="eastAsia" w:ascii="宋体" w:hAnsi="宋体" w:cs="宋体"/>
          <w:snapToGrid w:val="0"/>
          <w:color w:val="auto"/>
          <w:sz w:val="24"/>
          <w:highlight w:val="none"/>
          <w:u w:val="single"/>
        </w:rPr>
        <w:tab/>
      </w:r>
      <w:r>
        <w:rPr>
          <w:rFonts w:hint="eastAsia"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ab/>
      </w:r>
      <w:r>
        <w:rPr>
          <w:rFonts w:hint="eastAsia" w:ascii="宋体" w:hAnsi="宋体" w:cs="宋体"/>
          <w:snapToGrid w:val="0"/>
          <w:color w:val="auto"/>
          <w:sz w:val="24"/>
          <w:highlight w:val="none"/>
        </w:rPr>
        <w:t>元（￥</w:t>
      </w:r>
      <w:r>
        <w:rPr>
          <w:rFonts w:hint="eastAsia"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元）的总价（首轮响应报价）</w:t>
      </w:r>
      <w:r>
        <w:rPr>
          <w:rFonts w:hint="eastAsia" w:ascii="宋体" w:hAnsi="宋体" w:cs="宋体"/>
          <w:color w:val="auto"/>
          <w:sz w:val="24"/>
          <w:highlight w:val="none"/>
        </w:rPr>
        <w:t>，按合同约定实施和完成全部采购内容，修补项目中的任何缺陷，质量标准达到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。供货期为合同签订后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天。质保期：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2.如我方中标：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（2）随同本磋商申请及申明递交的磋商申请及申明附录属于合同文件的组成部分。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（3）我方承诺按照竞争性磋商文件规定向你方递交保证金。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5.我方在此声明，所递交的响应文件及有关资料内容完整、真实和准确，且不存在第二章“供应商须知”第1.4.3项规定的任何一种情形。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6.在合同协议书正式签署生效之前，本磋商申请及申明连同你方的成交通知书将构成我们双方之间共同遵守的文件，对双方具有约束力。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pPr>
        <w:tabs>
          <w:tab w:val="left" w:pos="2977"/>
          <w:tab w:val="left" w:pos="3261"/>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网址：</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p>
    <w:p>
      <w:pPr>
        <w:spacing w:line="360" w:lineRule="auto"/>
        <w:ind w:left="3600" w:hanging="3600" w:hangingChars="1500"/>
        <w:jc w:val="left"/>
        <w:rPr>
          <w:rFonts w:ascii="宋体" w:hAnsi="宋体" w:cs="宋体"/>
          <w:color w:val="auto"/>
          <w:sz w:val="24"/>
          <w:highlight w:val="none"/>
        </w:rPr>
      </w:pP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ascii="宋体" w:hAnsi="宋体" w:cs="宋体"/>
          <w:b/>
          <w:bCs/>
          <w:color w:val="auto"/>
          <w:spacing w:val="20"/>
          <w:sz w:val="28"/>
          <w:szCs w:val="28"/>
          <w:highlight w:val="none"/>
        </w:rPr>
      </w:pPr>
    </w:p>
    <w:p>
      <w:pPr>
        <w:spacing w:line="360" w:lineRule="auto"/>
        <w:jc w:val="center"/>
        <w:rPr>
          <w:rFonts w:ascii="宋体" w:hAnsi="宋体" w:cs="宋体"/>
          <w:b/>
          <w:bCs/>
          <w:color w:val="auto"/>
          <w:spacing w:val="20"/>
          <w:sz w:val="28"/>
          <w:szCs w:val="28"/>
          <w:highlight w:val="none"/>
        </w:rPr>
      </w:pPr>
    </w:p>
    <w:p>
      <w:pPr>
        <w:spacing w:line="360" w:lineRule="auto"/>
        <w:rPr>
          <w:rFonts w:ascii="宋体" w:hAnsi="宋体" w:cs="宋体"/>
          <w:b/>
          <w:bCs/>
          <w:color w:val="auto"/>
          <w:spacing w:val="20"/>
          <w:sz w:val="28"/>
          <w:szCs w:val="28"/>
          <w:highlight w:val="none"/>
        </w:rPr>
      </w:pPr>
    </w:p>
    <w:p>
      <w:pPr>
        <w:pStyle w:val="11"/>
        <w:rPr>
          <w:color w:val="auto"/>
          <w:highlight w:val="none"/>
        </w:rPr>
      </w:pPr>
    </w:p>
    <w:p>
      <w:pPr>
        <w:pStyle w:val="11"/>
        <w:rPr>
          <w:color w:val="auto"/>
          <w:highlight w:val="none"/>
        </w:rPr>
      </w:pPr>
    </w:p>
    <w:p>
      <w:pPr>
        <w:pStyle w:val="6"/>
        <w:keepNext w:val="0"/>
        <w:keepLines w:val="0"/>
        <w:autoSpaceDE w:val="0"/>
        <w:autoSpaceDN w:val="0"/>
        <w:spacing w:before="104" w:after="0" w:line="360" w:lineRule="auto"/>
        <w:ind w:right="1503"/>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附件1：</w:t>
      </w:r>
      <w:r>
        <w:rPr>
          <w:rFonts w:ascii="宋体" w:hAnsi="宋体" w:cs="宋体"/>
          <w:color w:val="auto"/>
          <w:kern w:val="0"/>
          <w:sz w:val="21"/>
          <w:szCs w:val="21"/>
          <w:highlight w:val="none"/>
          <w:lang w:val="zh-CN" w:bidi="zh-CN"/>
        </w:rPr>
        <w:t>磋商响应函</w:t>
      </w:r>
    </w:p>
    <w:p>
      <w:pPr>
        <w:spacing w:line="360" w:lineRule="auto"/>
        <w:rPr>
          <w:rFonts w:ascii="宋体" w:hAnsi="宋体"/>
          <w:color w:val="auto"/>
          <w:highlight w:val="none"/>
        </w:rPr>
      </w:pPr>
    </w:p>
    <w:p>
      <w:pPr>
        <w:autoSpaceDE w:val="0"/>
        <w:autoSpaceDN w:val="0"/>
        <w:spacing w:after="240" w:afterLines="100"/>
        <w:jc w:val="left"/>
        <w:rPr>
          <w:rFonts w:ascii="宋体" w:hAnsi="宋体" w:cs="宋体"/>
          <w:b/>
          <w:color w:val="auto"/>
          <w:kern w:val="0"/>
          <w:highlight w:val="none"/>
          <w:u w:val="single"/>
          <w:lang w:val="zh-CN" w:bidi="zh-CN"/>
        </w:rPr>
      </w:pPr>
      <w:r>
        <w:rPr>
          <w:rFonts w:ascii="宋体" w:hAnsi="宋体" w:cs="宋体"/>
          <w:b/>
          <w:color w:val="auto"/>
          <w:kern w:val="0"/>
          <w:highlight w:val="none"/>
          <w:lang w:val="zh-CN" w:bidi="zh-CN"/>
        </w:rPr>
        <w:t>致：</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 xml:space="preserve"> </w:t>
      </w:r>
    </w:p>
    <w:p>
      <w:pPr>
        <w:pStyle w:val="3"/>
        <w:spacing w:before="2" w:line="360" w:lineRule="auto"/>
        <w:ind w:left="1040"/>
        <w:rPr>
          <w:color w:val="auto"/>
          <w:sz w:val="21"/>
          <w:szCs w:val="21"/>
          <w:highlight w:val="none"/>
        </w:rPr>
      </w:pPr>
      <w:r>
        <w:rPr>
          <w:color w:val="auto"/>
          <w:sz w:val="21"/>
          <w:szCs w:val="21"/>
          <w:highlight w:val="none"/>
        </w:rPr>
        <w:t>根据贵方的竞争性磋商邀请公告，我方兹宣布同意如下：</w:t>
      </w:r>
    </w:p>
    <w:p>
      <w:pPr>
        <w:pStyle w:val="26"/>
        <w:numPr>
          <w:ilvl w:val="0"/>
          <w:numId w:val="11"/>
        </w:numPr>
        <w:tabs>
          <w:tab w:val="left" w:pos="1282"/>
        </w:tabs>
        <w:autoSpaceDE w:val="0"/>
        <w:autoSpaceDN w:val="0"/>
        <w:spacing w:before="160" w:line="360" w:lineRule="auto"/>
        <w:ind w:right="557" w:firstLine="479" w:firstLineChars="0"/>
        <w:rPr>
          <w:rFonts w:ascii="宋体" w:hAnsi="宋体"/>
          <w:color w:val="auto"/>
          <w:szCs w:val="21"/>
          <w:highlight w:val="none"/>
        </w:rPr>
      </w:pPr>
      <w:r>
        <w:rPr>
          <w:rFonts w:ascii="宋体" w:hAnsi="宋体"/>
          <w:color w:val="auto"/>
          <w:szCs w:val="21"/>
          <w:highlight w:val="none"/>
        </w:rPr>
        <w:t>如我公司成交，我公司承诺愿意按磋商文件规定缴纳履约保证金和成交服务费。按本次磋商文件规定及最后报价承诺供货及安装。</w:t>
      </w:r>
    </w:p>
    <w:p>
      <w:pPr>
        <w:pStyle w:val="26"/>
        <w:numPr>
          <w:ilvl w:val="0"/>
          <w:numId w:val="11"/>
        </w:numPr>
        <w:tabs>
          <w:tab w:val="left" w:pos="1282"/>
        </w:tabs>
        <w:autoSpaceDE w:val="0"/>
        <w:autoSpaceDN w:val="0"/>
        <w:spacing w:before="1" w:line="360" w:lineRule="auto"/>
        <w:ind w:right="561" w:firstLine="479" w:firstLineChars="0"/>
        <w:rPr>
          <w:rFonts w:ascii="宋体" w:hAnsi="宋体"/>
          <w:color w:val="auto"/>
          <w:szCs w:val="21"/>
          <w:highlight w:val="none"/>
        </w:rPr>
      </w:pPr>
      <w:r>
        <w:rPr>
          <w:rFonts w:ascii="宋体" w:hAnsi="宋体"/>
          <w:color w:val="auto"/>
          <w:szCs w:val="21"/>
          <w:highlight w:val="none"/>
        </w:rPr>
        <w:t>我方根据本次磋商文件的规定，严格履行合同的责任和义务,并保证于买方要求的日期内完成服务，并通过买方验收。</w:t>
      </w:r>
    </w:p>
    <w:p>
      <w:pPr>
        <w:pStyle w:val="26"/>
        <w:numPr>
          <w:ilvl w:val="0"/>
          <w:numId w:val="11"/>
        </w:numPr>
        <w:tabs>
          <w:tab w:val="left" w:pos="1282"/>
        </w:tabs>
        <w:autoSpaceDE w:val="0"/>
        <w:autoSpaceDN w:val="0"/>
        <w:spacing w:before="2" w:line="360" w:lineRule="auto"/>
        <w:ind w:left="1281" w:hanging="242" w:firstLineChars="0"/>
        <w:rPr>
          <w:rFonts w:ascii="宋体" w:hAnsi="宋体"/>
          <w:color w:val="auto"/>
          <w:szCs w:val="21"/>
          <w:highlight w:val="none"/>
        </w:rPr>
      </w:pPr>
      <w:r>
        <w:rPr>
          <w:rFonts w:ascii="宋体" w:hAnsi="宋体"/>
          <w:color w:val="auto"/>
          <w:szCs w:val="21"/>
          <w:highlight w:val="none"/>
        </w:rPr>
        <w:t>我方承诺报价低于同类货物和服务的市场平均价格。</w:t>
      </w:r>
    </w:p>
    <w:p>
      <w:pPr>
        <w:pStyle w:val="26"/>
        <w:numPr>
          <w:ilvl w:val="0"/>
          <w:numId w:val="11"/>
        </w:numPr>
        <w:tabs>
          <w:tab w:val="left" w:pos="1282"/>
        </w:tabs>
        <w:autoSpaceDE w:val="0"/>
        <w:autoSpaceDN w:val="0"/>
        <w:spacing w:before="161" w:line="360" w:lineRule="auto"/>
        <w:ind w:right="439" w:firstLine="479" w:firstLineChars="0"/>
        <w:rPr>
          <w:rFonts w:ascii="宋体" w:hAnsi="宋体"/>
          <w:color w:val="auto"/>
          <w:szCs w:val="21"/>
          <w:highlight w:val="none"/>
        </w:rPr>
      </w:pPr>
      <w:r>
        <w:rPr>
          <w:rFonts w:ascii="宋体" w:hAnsi="宋体"/>
          <w:color w:val="auto"/>
          <w:szCs w:val="21"/>
          <w:highlight w:val="none"/>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pStyle w:val="26"/>
        <w:numPr>
          <w:ilvl w:val="0"/>
          <w:numId w:val="11"/>
        </w:numPr>
        <w:tabs>
          <w:tab w:val="left" w:pos="1282"/>
        </w:tabs>
        <w:autoSpaceDE w:val="0"/>
        <w:autoSpaceDN w:val="0"/>
        <w:spacing w:before="1" w:line="360" w:lineRule="auto"/>
        <w:ind w:right="558" w:firstLine="479" w:firstLineChars="0"/>
        <w:rPr>
          <w:rFonts w:ascii="宋体" w:hAnsi="宋体"/>
          <w:color w:val="auto"/>
          <w:szCs w:val="21"/>
          <w:highlight w:val="none"/>
        </w:rPr>
      </w:pPr>
      <w:r>
        <w:rPr>
          <w:rFonts w:ascii="宋体" w:hAnsi="宋体"/>
          <w:color w:val="auto"/>
          <w:szCs w:val="21"/>
          <w:highlight w:val="none"/>
        </w:rPr>
        <w:t>我方同意从供应商须知规定的磋商日期起遵循本磋商文件，并在供应商须知规定的磋商有效期之前均具有约束力。</w:t>
      </w:r>
    </w:p>
    <w:p>
      <w:pPr>
        <w:pStyle w:val="26"/>
        <w:numPr>
          <w:ilvl w:val="0"/>
          <w:numId w:val="11"/>
        </w:numPr>
        <w:tabs>
          <w:tab w:val="left" w:pos="1286"/>
        </w:tabs>
        <w:autoSpaceDE w:val="0"/>
        <w:autoSpaceDN w:val="0"/>
        <w:spacing w:before="2" w:line="360" w:lineRule="auto"/>
        <w:ind w:right="550" w:firstLine="479" w:firstLineChars="0"/>
        <w:rPr>
          <w:rFonts w:ascii="宋体" w:hAnsi="宋体"/>
          <w:color w:val="auto"/>
          <w:szCs w:val="21"/>
          <w:highlight w:val="none"/>
        </w:rPr>
      </w:pPr>
      <w:r>
        <w:rPr>
          <w:rFonts w:ascii="宋体" w:hAnsi="宋体"/>
          <w:color w:val="auto"/>
          <w:szCs w:val="21"/>
          <w:highlight w:val="none"/>
        </w:rPr>
        <w:t>我方同意按贵方要求在磋商现场规定时间内向贵方提供与其磋商有关的任何证据或补充资料，否则，我方的响应文件可被贵方拒绝。</w:t>
      </w:r>
    </w:p>
    <w:p>
      <w:pPr>
        <w:pStyle w:val="26"/>
        <w:numPr>
          <w:ilvl w:val="0"/>
          <w:numId w:val="11"/>
        </w:numPr>
        <w:tabs>
          <w:tab w:val="left" w:pos="1282"/>
        </w:tabs>
        <w:autoSpaceDE w:val="0"/>
        <w:autoSpaceDN w:val="0"/>
        <w:spacing w:before="1" w:line="360" w:lineRule="auto"/>
        <w:ind w:left="1281" w:hanging="242" w:firstLineChars="0"/>
        <w:rPr>
          <w:rFonts w:ascii="宋体" w:hAnsi="宋体"/>
          <w:color w:val="auto"/>
          <w:szCs w:val="21"/>
          <w:highlight w:val="none"/>
        </w:rPr>
      </w:pPr>
      <w:r>
        <w:rPr>
          <w:rFonts w:ascii="宋体" w:hAnsi="宋体"/>
          <w:color w:val="auto"/>
          <w:szCs w:val="21"/>
          <w:highlight w:val="none"/>
        </w:rPr>
        <w:t>我方完全理解贵方不一定接受最低报价的磋商。</w:t>
      </w:r>
    </w:p>
    <w:p>
      <w:pPr>
        <w:pStyle w:val="26"/>
        <w:numPr>
          <w:ilvl w:val="0"/>
          <w:numId w:val="11"/>
        </w:numPr>
        <w:tabs>
          <w:tab w:val="left" w:pos="1282"/>
        </w:tabs>
        <w:autoSpaceDE w:val="0"/>
        <w:autoSpaceDN w:val="0"/>
        <w:spacing w:before="161" w:line="360" w:lineRule="auto"/>
        <w:ind w:left="1281" w:hanging="242" w:firstLineChars="0"/>
        <w:rPr>
          <w:rFonts w:ascii="宋体" w:hAnsi="宋体"/>
          <w:color w:val="auto"/>
          <w:szCs w:val="21"/>
          <w:highlight w:val="none"/>
        </w:rPr>
      </w:pPr>
      <w:r>
        <w:rPr>
          <w:rFonts w:ascii="宋体" w:hAnsi="宋体"/>
          <w:color w:val="auto"/>
          <w:szCs w:val="21"/>
          <w:highlight w:val="none"/>
        </w:rPr>
        <w:t>我方同意磋商文件规定的付款方式、</w:t>
      </w:r>
      <w:r>
        <w:rPr>
          <w:rFonts w:hint="eastAsia" w:ascii="宋体" w:hAnsi="宋体"/>
          <w:color w:val="auto"/>
          <w:szCs w:val="21"/>
          <w:highlight w:val="none"/>
        </w:rPr>
        <w:t>供货</w:t>
      </w:r>
      <w:r>
        <w:rPr>
          <w:rFonts w:ascii="宋体" w:hAnsi="宋体"/>
          <w:color w:val="auto"/>
          <w:szCs w:val="21"/>
          <w:highlight w:val="none"/>
        </w:rPr>
        <w:t>期限。</w:t>
      </w:r>
    </w:p>
    <w:p>
      <w:pPr>
        <w:pStyle w:val="26"/>
        <w:numPr>
          <w:ilvl w:val="0"/>
          <w:numId w:val="11"/>
        </w:numPr>
        <w:tabs>
          <w:tab w:val="left" w:pos="1402"/>
        </w:tabs>
        <w:autoSpaceDE w:val="0"/>
        <w:autoSpaceDN w:val="0"/>
        <w:spacing w:before="161" w:line="360" w:lineRule="auto"/>
        <w:ind w:right="560" w:firstLine="479" w:firstLineChars="0"/>
        <w:rPr>
          <w:rFonts w:ascii="宋体" w:hAnsi="宋体"/>
          <w:color w:val="auto"/>
          <w:szCs w:val="21"/>
          <w:highlight w:val="none"/>
        </w:rPr>
      </w:pPr>
      <w:r>
        <w:rPr>
          <w:rFonts w:ascii="宋体" w:hAnsi="宋体"/>
          <w:color w:val="auto"/>
          <w:szCs w:val="21"/>
          <w:highlight w:val="none"/>
        </w:rPr>
        <w:t>我方对响应文件中所提供资料、文件、证书及证件的真实性和有效性负责。</w:t>
      </w:r>
    </w:p>
    <w:p>
      <w:pPr>
        <w:pStyle w:val="26"/>
        <w:numPr>
          <w:ilvl w:val="0"/>
          <w:numId w:val="11"/>
        </w:numPr>
        <w:tabs>
          <w:tab w:val="left" w:pos="1402"/>
          <w:tab w:val="left" w:pos="7456"/>
        </w:tabs>
        <w:autoSpaceDE w:val="0"/>
        <w:autoSpaceDN w:val="0"/>
        <w:spacing w:before="1" w:line="360" w:lineRule="auto"/>
        <w:ind w:left="1401" w:hanging="362" w:firstLineChars="0"/>
        <w:rPr>
          <w:rFonts w:ascii="宋体" w:hAnsi="宋体"/>
          <w:color w:val="auto"/>
          <w:szCs w:val="21"/>
          <w:highlight w:val="none"/>
        </w:rPr>
      </w:pPr>
      <w:r>
        <w:rPr>
          <w:rFonts w:ascii="宋体" w:hAnsi="宋体"/>
          <w:color w:val="auto"/>
          <w:szCs w:val="21"/>
          <w:highlight w:val="none"/>
        </w:rPr>
        <w:t>与本磋商有关的通讯地址：</w:t>
      </w:r>
      <w:r>
        <w:rPr>
          <w:rFonts w:ascii="宋体" w:hAnsi="宋体"/>
          <w:color w:val="auto"/>
          <w:szCs w:val="21"/>
          <w:highlight w:val="none"/>
          <w:u w:val="single"/>
        </w:rPr>
        <w:t xml:space="preserve"> </w:t>
      </w:r>
      <w:r>
        <w:rPr>
          <w:rFonts w:ascii="宋体" w:hAnsi="宋体"/>
          <w:color w:val="auto"/>
          <w:szCs w:val="21"/>
          <w:highlight w:val="none"/>
          <w:u w:val="single"/>
        </w:rPr>
        <w:tab/>
      </w:r>
    </w:p>
    <w:p>
      <w:pPr>
        <w:pStyle w:val="3"/>
        <w:tabs>
          <w:tab w:val="left" w:pos="5841"/>
          <w:tab w:val="left" w:pos="8923"/>
        </w:tabs>
        <w:spacing w:before="160" w:line="360" w:lineRule="auto"/>
        <w:ind w:left="5121" w:right="501"/>
        <w:rPr>
          <w:color w:val="auto"/>
          <w:sz w:val="21"/>
          <w:szCs w:val="21"/>
          <w:highlight w:val="none"/>
          <w:u w:val="single"/>
        </w:rPr>
      </w:pPr>
      <w:r>
        <w:rPr>
          <w:color w:val="auto"/>
          <w:sz w:val="21"/>
          <w:szCs w:val="21"/>
          <w:highlight w:val="none"/>
        </w:rPr>
        <w:t>供应商</w:t>
      </w:r>
      <w:r>
        <w:rPr>
          <w:rFonts w:hint="eastAsia"/>
          <w:color w:val="auto"/>
          <w:sz w:val="21"/>
          <w:szCs w:val="21"/>
          <w:highlight w:val="none"/>
          <w:lang w:val="en-US"/>
        </w:rPr>
        <w:t>公</w:t>
      </w:r>
      <w:r>
        <w:rPr>
          <w:color w:val="auto"/>
          <w:sz w:val="21"/>
          <w:szCs w:val="21"/>
          <w:highlight w:val="none"/>
        </w:rPr>
        <w:t>章：</w:t>
      </w:r>
      <w:r>
        <w:rPr>
          <w:color w:val="auto"/>
          <w:sz w:val="21"/>
          <w:szCs w:val="21"/>
          <w:highlight w:val="none"/>
          <w:u w:val="single"/>
        </w:rPr>
        <w:t xml:space="preserve"> </w:t>
      </w:r>
      <w:r>
        <w:rPr>
          <w:color w:val="auto"/>
          <w:sz w:val="21"/>
          <w:szCs w:val="21"/>
          <w:highlight w:val="none"/>
          <w:u w:val="single"/>
        </w:rPr>
        <w:tab/>
      </w:r>
    </w:p>
    <w:p>
      <w:pPr>
        <w:pStyle w:val="3"/>
        <w:tabs>
          <w:tab w:val="left" w:pos="5841"/>
          <w:tab w:val="left" w:pos="8923"/>
        </w:tabs>
        <w:spacing w:before="160" w:line="360" w:lineRule="auto"/>
        <w:ind w:right="501"/>
        <w:jc w:val="right"/>
        <w:rPr>
          <w:color w:val="auto"/>
          <w:sz w:val="21"/>
          <w:szCs w:val="21"/>
          <w:highlight w:val="none"/>
          <w:u w:val="single"/>
        </w:rPr>
      </w:pPr>
      <w:r>
        <w:rPr>
          <w:rFonts w:hint="eastAsia"/>
          <w:color w:val="auto"/>
          <w:sz w:val="21"/>
          <w:szCs w:val="21"/>
          <w:highlight w:val="none"/>
        </w:rPr>
        <w:t>法定代表人或其委托代理人：</w:t>
      </w:r>
      <w:r>
        <w:rPr>
          <w:rFonts w:hint="eastAsia"/>
          <w:color w:val="auto"/>
          <w:sz w:val="21"/>
          <w:szCs w:val="21"/>
          <w:highlight w:val="none"/>
          <w:u w:val="single"/>
        </w:rPr>
        <w:t>（签字或盖章）</w:t>
      </w:r>
    </w:p>
    <w:p>
      <w:pPr>
        <w:autoSpaceDE w:val="0"/>
        <w:autoSpaceDN w:val="0"/>
        <w:spacing w:before="240" w:beforeLines="100" w:line="360" w:lineRule="auto"/>
        <w:jc w:val="right"/>
        <w:outlineLvl w:val="3"/>
        <w:rPr>
          <w:color w:val="auto"/>
          <w:highlight w:val="none"/>
          <w:u w:val="single"/>
        </w:rPr>
      </w:pPr>
      <w:r>
        <w:rPr>
          <w:color w:val="auto"/>
          <w:highlight w:val="none"/>
        </w:rPr>
        <w:t>日</w:t>
      </w:r>
      <w:r>
        <w:rPr>
          <w:color w:val="auto"/>
          <w:highlight w:val="none"/>
        </w:rPr>
        <w:tab/>
      </w:r>
      <w:r>
        <w:rPr>
          <w:color w:val="auto"/>
          <w:highlight w:val="none"/>
        </w:rPr>
        <w:t>期：</w:t>
      </w:r>
      <w:r>
        <w:rPr>
          <w:color w:val="auto"/>
          <w:highlight w:val="none"/>
          <w:u w:val="single"/>
        </w:rPr>
        <w:t xml:space="preserve"> </w:t>
      </w:r>
      <w:r>
        <w:rPr>
          <w:color w:val="auto"/>
          <w:highlight w:val="none"/>
          <w:u w:val="single"/>
        </w:rPr>
        <w:tab/>
      </w: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rFonts w:ascii="宋体" w:hAnsi="宋体" w:cs="宋体"/>
          <w:b/>
          <w:color w:val="auto"/>
          <w:kern w:val="0"/>
          <w:highlight w:val="none"/>
          <w:lang w:val="zh-CN" w:bidi="zh-CN"/>
        </w:rPr>
      </w:pPr>
      <w:r>
        <w:rPr>
          <w:rFonts w:hint="eastAsia" w:ascii="宋体" w:hAnsi="宋体" w:cs="宋体"/>
          <w:b/>
          <w:color w:val="auto"/>
          <w:kern w:val="0"/>
          <w:highlight w:val="none"/>
          <w:lang w:bidi="zh-CN"/>
        </w:rPr>
        <w:t xml:space="preserve">附2  </w:t>
      </w:r>
      <w:r>
        <w:rPr>
          <w:rFonts w:ascii="宋体" w:hAnsi="宋体" w:cs="宋体"/>
          <w:b/>
          <w:color w:val="auto"/>
          <w:kern w:val="0"/>
          <w:highlight w:val="none"/>
          <w:lang w:val="zh-CN" w:bidi="zh-CN"/>
        </w:rPr>
        <w:t>分项报价明细表</w:t>
      </w:r>
    </w:p>
    <w:p>
      <w:pPr>
        <w:pStyle w:val="3"/>
        <w:spacing w:line="360" w:lineRule="auto"/>
        <w:rPr>
          <w:b/>
          <w:color w:val="auto"/>
          <w:sz w:val="21"/>
          <w:szCs w:val="21"/>
          <w:highlight w:val="none"/>
        </w:rPr>
      </w:pPr>
    </w:p>
    <w:p>
      <w:pPr>
        <w:pStyle w:val="3"/>
        <w:spacing w:after="1" w:line="360" w:lineRule="auto"/>
        <w:rPr>
          <w:b/>
          <w:color w:val="auto"/>
          <w:sz w:val="21"/>
          <w:szCs w:val="21"/>
          <w:highlight w:val="none"/>
        </w:rPr>
      </w:pPr>
    </w:p>
    <w:tbl>
      <w:tblPr>
        <w:tblStyle w:val="19"/>
        <w:tblW w:w="8521"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22"/>
        <w:gridCol w:w="1318"/>
        <w:gridCol w:w="1317"/>
        <w:gridCol w:w="672"/>
        <w:gridCol w:w="672"/>
        <w:gridCol w:w="938"/>
        <w:gridCol w:w="941"/>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2" w:type="dxa"/>
            <w:noWrap w:val="0"/>
            <w:vAlign w:val="top"/>
          </w:tcPr>
          <w:p>
            <w:pPr>
              <w:pStyle w:val="25"/>
              <w:spacing w:line="360" w:lineRule="auto"/>
              <w:ind w:left="215"/>
              <w:rPr>
                <w:b/>
                <w:color w:val="auto"/>
                <w:sz w:val="21"/>
                <w:szCs w:val="21"/>
                <w:highlight w:val="none"/>
                <w:lang w:eastAsia="en-US"/>
              </w:rPr>
            </w:pPr>
            <w:r>
              <w:rPr>
                <w:b/>
                <w:color w:val="auto"/>
                <w:w w:val="99"/>
                <w:sz w:val="21"/>
                <w:szCs w:val="21"/>
                <w:highlight w:val="none"/>
                <w:lang w:eastAsia="en-US"/>
              </w:rPr>
              <w:t>序</w:t>
            </w:r>
          </w:p>
          <w:p>
            <w:pPr>
              <w:pStyle w:val="25"/>
              <w:spacing w:before="4" w:line="360" w:lineRule="auto"/>
              <w:ind w:left="215"/>
              <w:rPr>
                <w:b/>
                <w:color w:val="auto"/>
                <w:sz w:val="21"/>
                <w:szCs w:val="21"/>
                <w:highlight w:val="none"/>
                <w:lang w:eastAsia="en-US"/>
              </w:rPr>
            </w:pPr>
            <w:r>
              <w:rPr>
                <w:b/>
                <w:color w:val="auto"/>
                <w:w w:val="99"/>
                <w:sz w:val="21"/>
                <w:szCs w:val="21"/>
                <w:highlight w:val="none"/>
                <w:lang w:eastAsia="en-US"/>
              </w:rPr>
              <w:t>号</w:t>
            </w:r>
          </w:p>
        </w:tc>
        <w:tc>
          <w:tcPr>
            <w:tcW w:w="1322" w:type="dxa"/>
            <w:noWrap w:val="0"/>
            <w:vAlign w:val="top"/>
          </w:tcPr>
          <w:p>
            <w:pPr>
              <w:pStyle w:val="25"/>
              <w:spacing w:before="155" w:line="360" w:lineRule="auto"/>
              <w:ind w:left="177"/>
              <w:rPr>
                <w:b/>
                <w:color w:val="auto"/>
                <w:sz w:val="21"/>
                <w:szCs w:val="21"/>
                <w:highlight w:val="none"/>
                <w:lang w:eastAsia="en-US"/>
              </w:rPr>
            </w:pPr>
            <w:r>
              <w:rPr>
                <w:b/>
                <w:color w:val="auto"/>
                <w:sz w:val="21"/>
                <w:szCs w:val="21"/>
                <w:highlight w:val="none"/>
                <w:lang w:eastAsia="en-US"/>
              </w:rPr>
              <w:t>货物名称</w:t>
            </w:r>
          </w:p>
        </w:tc>
        <w:tc>
          <w:tcPr>
            <w:tcW w:w="1318" w:type="dxa"/>
            <w:noWrap w:val="0"/>
            <w:vAlign w:val="top"/>
          </w:tcPr>
          <w:p>
            <w:pPr>
              <w:pStyle w:val="25"/>
              <w:spacing w:line="360" w:lineRule="auto"/>
              <w:ind w:left="156" w:right="148"/>
              <w:jc w:val="center"/>
              <w:rPr>
                <w:b/>
                <w:color w:val="auto"/>
                <w:sz w:val="21"/>
                <w:szCs w:val="21"/>
                <w:highlight w:val="none"/>
                <w:lang w:eastAsia="en-US"/>
              </w:rPr>
            </w:pPr>
            <w:r>
              <w:rPr>
                <w:b/>
                <w:color w:val="auto"/>
                <w:sz w:val="21"/>
                <w:szCs w:val="21"/>
                <w:highlight w:val="none"/>
                <w:lang w:eastAsia="en-US"/>
              </w:rPr>
              <w:t>品牌、型</w:t>
            </w:r>
          </w:p>
          <w:p>
            <w:pPr>
              <w:pStyle w:val="25"/>
              <w:spacing w:before="4" w:line="360" w:lineRule="auto"/>
              <w:ind w:left="156" w:right="146"/>
              <w:jc w:val="center"/>
              <w:rPr>
                <w:b/>
                <w:color w:val="auto"/>
                <w:sz w:val="21"/>
                <w:szCs w:val="21"/>
                <w:highlight w:val="none"/>
                <w:lang w:eastAsia="en-US"/>
              </w:rPr>
            </w:pPr>
            <w:r>
              <w:rPr>
                <w:b/>
                <w:color w:val="auto"/>
                <w:sz w:val="21"/>
                <w:szCs w:val="21"/>
                <w:highlight w:val="none"/>
                <w:lang w:eastAsia="en-US"/>
              </w:rPr>
              <w:t>号规格</w:t>
            </w:r>
          </w:p>
        </w:tc>
        <w:tc>
          <w:tcPr>
            <w:tcW w:w="1317" w:type="dxa"/>
            <w:noWrap w:val="0"/>
            <w:vAlign w:val="top"/>
          </w:tcPr>
          <w:p>
            <w:pPr>
              <w:pStyle w:val="25"/>
              <w:spacing w:line="360" w:lineRule="auto"/>
              <w:ind w:left="175"/>
              <w:rPr>
                <w:b/>
                <w:color w:val="auto"/>
                <w:sz w:val="21"/>
                <w:szCs w:val="21"/>
                <w:highlight w:val="none"/>
                <w:lang w:eastAsia="en-US"/>
              </w:rPr>
            </w:pPr>
            <w:r>
              <w:rPr>
                <w:b/>
                <w:color w:val="auto"/>
                <w:sz w:val="21"/>
                <w:szCs w:val="21"/>
                <w:highlight w:val="none"/>
                <w:lang w:eastAsia="en-US"/>
              </w:rPr>
              <w:t>原产地及</w:t>
            </w:r>
          </w:p>
          <w:p>
            <w:pPr>
              <w:pStyle w:val="25"/>
              <w:spacing w:before="4" w:line="360" w:lineRule="auto"/>
              <w:ind w:left="175"/>
              <w:rPr>
                <w:b/>
                <w:color w:val="auto"/>
                <w:sz w:val="21"/>
                <w:szCs w:val="21"/>
                <w:highlight w:val="none"/>
                <w:lang w:eastAsia="en-US"/>
              </w:rPr>
            </w:pPr>
            <w:r>
              <w:rPr>
                <w:b/>
                <w:color w:val="auto"/>
                <w:sz w:val="21"/>
                <w:szCs w:val="21"/>
                <w:highlight w:val="none"/>
                <w:lang w:eastAsia="en-US"/>
              </w:rPr>
              <w:t>生产厂商</w:t>
            </w:r>
          </w:p>
        </w:tc>
        <w:tc>
          <w:tcPr>
            <w:tcW w:w="672" w:type="dxa"/>
            <w:noWrap w:val="0"/>
            <w:vAlign w:val="top"/>
          </w:tcPr>
          <w:p>
            <w:pPr>
              <w:pStyle w:val="25"/>
              <w:spacing w:line="360" w:lineRule="auto"/>
              <w:ind w:left="217"/>
              <w:rPr>
                <w:b/>
                <w:color w:val="auto"/>
                <w:sz w:val="21"/>
                <w:szCs w:val="21"/>
                <w:highlight w:val="none"/>
                <w:lang w:eastAsia="en-US"/>
              </w:rPr>
            </w:pPr>
            <w:r>
              <w:rPr>
                <w:b/>
                <w:color w:val="auto"/>
                <w:w w:val="99"/>
                <w:sz w:val="21"/>
                <w:szCs w:val="21"/>
                <w:highlight w:val="none"/>
                <w:lang w:eastAsia="en-US"/>
              </w:rPr>
              <w:t>单</w:t>
            </w:r>
          </w:p>
          <w:p>
            <w:pPr>
              <w:pStyle w:val="25"/>
              <w:spacing w:before="4" w:line="360" w:lineRule="auto"/>
              <w:ind w:left="217"/>
              <w:rPr>
                <w:b/>
                <w:color w:val="auto"/>
                <w:sz w:val="21"/>
                <w:szCs w:val="21"/>
                <w:highlight w:val="none"/>
                <w:lang w:eastAsia="en-US"/>
              </w:rPr>
            </w:pPr>
            <w:r>
              <w:rPr>
                <w:b/>
                <w:color w:val="auto"/>
                <w:w w:val="99"/>
                <w:sz w:val="21"/>
                <w:szCs w:val="21"/>
                <w:highlight w:val="none"/>
                <w:lang w:eastAsia="en-US"/>
              </w:rPr>
              <w:t>位</w:t>
            </w:r>
          </w:p>
        </w:tc>
        <w:tc>
          <w:tcPr>
            <w:tcW w:w="672" w:type="dxa"/>
            <w:noWrap w:val="0"/>
            <w:vAlign w:val="top"/>
          </w:tcPr>
          <w:p>
            <w:pPr>
              <w:pStyle w:val="25"/>
              <w:spacing w:line="360" w:lineRule="auto"/>
              <w:ind w:left="217"/>
              <w:rPr>
                <w:b/>
                <w:color w:val="auto"/>
                <w:sz w:val="21"/>
                <w:szCs w:val="21"/>
                <w:highlight w:val="none"/>
                <w:lang w:eastAsia="en-US"/>
              </w:rPr>
            </w:pPr>
            <w:r>
              <w:rPr>
                <w:b/>
                <w:color w:val="auto"/>
                <w:w w:val="99"/>
                <w:sz w:val="21"/>
                <w:szCs w:val="21"/>
                <w:highlight w:val="none"/>
                <w:lang w:eastAsia="en-US"/>
              </w:rPr>
              <w:t>数</w:t>
            </w:r>
          </w:p>
          <w:p>
            <w:pPr>
              <w:pStyle w:val="25"/>
              <w:spacing w:before="4" w:line="360" w:lineRule="auto"/>
              <w:ind w:left="217"/>
              <w:rPr>
                <w:b/>
                <w:color w:val="auto"/>
                <w:sz w:val="21"/>
                <w:szCs w:val="21"/>
                <w:highlight w:val="none"/>
                <w:lang w:eastAsia="en-US"/>
              </w:rPr>
            </w:pPr>
            <w:r>
              <w:rPr>
                <w:b/>
                <w:color w:val="auto"/>
                <w:w w:val="99"/>
                <w:sz w:val="21"/>
                <w:szCs w:val="21"/>
                <w:highlight w:val="none"/>
                <w:lang w:eastAsia="en-US"/>
              </w:rPr>
              <w:t>量</w:t>
            </w:r>
          </w:p>
        </w:tc>
        <w:tc>
          <w:tcPr>
            <w:tcW w:w="938" w:type="dxa"/>
            <w:noWrap w:val="0"/>
            <w:vAlign w:val="top"/>
          </w:tcPr>
          <w:p>
            <w:pPr>
              <w:pStyle w:val="25"/>
              <w:spacing w:line="360" w:lineRule="auto"/>
              <w:ind w:left="106" w:right="91"/>
              <w:jc w:val="center"/>
              <w:rPr>
                <w:b/>
                <w:color w:val="auto"/>
                <w:sz w:val="21"/>
                <w:szCs w:val="21"/>
                <w:highlight w:val="none"/>
                <w:lang w:eastAsia="en-US"/>
              </w:rPr>
            </w:pPr>
            <w:r>
              <w:rPr>
                <w:b/>
                <w:color w:val="auto"/>
                <w:sz w:val="21"/>
                <w:szCs w:val="21"/>
                <w:highlight w:val="none"/>
                <w:lang w:eastAsia="en-US"/>
              </w:rPr>
              <w:t>单价</w:t>
            </w:r>
          </w:p>
          <w:p>
            <w:pPr>
              <w:pStyle w:val="25"/>
              <w:spacing w:before="4" w:line="360" w:lineRule="auto"/>
              <w:ind w:left="106" w:right="94"/>
              <w:jc w:val="center"/>
              <w:rPr>
                <w:b/>
                <w:color w:val="auto"/>
                <w:sz w:val="21"/>
                <w:szCs w:val="21"/>
                <w:highlight w:val="none"/>
                <w:lang w:eastAsia="en-US"/>
              </w:rPr>
            </w:pPr>
            <w:r>
              <w:rPr>
                <w:b/>
                <w:color w:val="auto"/>
                <w:w w:val="95"/>
                <w:sz w:val="21"/>
                <w:szCs w:val="21"/>
                <w:highlight w:val="none"/>
                <w:lang w:eastAsia="en-US"/>
              </w:rPr>
              <w:t>（元）</w:t>
            </w:r>
          </w:p>
        </w:tc>
        <w:tc>
          <w:tcPr>
            <w:tcW w:w="941" w:type="dxa"/>
            <w:noWrap w:val="0"/>
            <w:vAlign w:val="top"/>
          </w:tcPr>
          <w:p>
            <w:pPr>
              <w:pStyle w:val="25"/>
              <w:spacing w:line="360" w:lineRule="auto"/>
              <w:ind w:left="91" w:right="78"/>
              <w:jc w:val="center"/>
              <w:rPr>
                <w:b/>
                <w:color w:val="auto"/>
                <w:sz w:val="21"/>
                <w:szCs w:val="21"/>
                <w:highlight w:val="none"/>
                <w:lang w:eastAsia="en-US"/>
              </w:rPr>
            </w:pPr>
            <w:r>
              <w:rPr>
                <w:b/>
                <w:color w:val="auto"/>
                <w:sz w:val="21"/>
                <w:szCs w:val="21"/>
                <w:highlight w:val="none"/>
                <w:lang w:eastAsia="en-US"/>
              </w:rPr>
              <w:t>小计</w:t>
            </w:r>
          </w:p>
          <w:p>
            <w:pPr>
              <w:pStyle w:val="25"/>
              <w:spacing w:before="4" w:line="360" w:lineRule="auto"/>
              <w:ind w:left="90" w:right="80"/>
              <w:jc w:val="center"/>
              <w:rPr>
                <w:b/>
                <w:color w:val="auto"/>
                <w:sz w:val="21"/>
                <w:szCs w:val="21"/>
                <w:highlight w:val="none"/>
                <w:lang w:eastAsia="en-US"/>
              </w:rPr>
            </w:pPr>
            <w:r>
              <w:rPr>
                <w:b/>
                <w:color w:val="auto"/>
                <w:w w:val="95"/>
                <w:sz w:val="21"/>
                <w:szCs w:val="21"/>
                <w:highlight w:val="none"/>
                <w:lang w:eastAsia="en-US"/>
              </w:rPr>
              <w:t>（元）</w:t>
            </w:r>
          </w:p>
        </w:tc>
        <w:tc>
          <w:tcPr>
            <w:tcW w:w="669" w:type="dxa"/>
            <w:noWrap w:val="0"/>
            <w:vAlign w:val="top"/>
          </w:tcPr>
          <w:p>
            <w:pPr>
              <w:pStyle w:val="25"/>
              <w:spacing w:line="360" w:lineRule="auto"/>
              <w:ind w:left="215"/>
              <w:rPr>
                <w:b/>
                <w:color w:val="auto"/>
                <w:sz w:val="21"/>
                <w:szCs w:val="21"/>
                <w:highlight w:val="none"/>
                <w:lang w:eastAsia="en-US"/>
              </w:rPr>
            </w:pPr>
            <w:r>
              <w:rPr>
                <w:b/>
                <w:color w:val="auto"/>
                <w:w w:val="99"/>
                <w:sz w:val="21"/>
                <w:szCs w:val="21"/>
                <w:highlight w:val="none"/>
                <w:lang w:eastAsia="en-US"/>
              </w:rPr>
              <w:t>备</w:t>
            </w:r>
          </w:p>
          <w:p>
            <w:pPr>
              <w:pStyle w:val="25"/>
              <w:spacing w:before="4" w:line="360" w:lineRule="auto"/>
              <w:ind w:left="215"/>
              <w:rPr>
                <w:b/>
                <w:color w:val="auto"/>
                <w:sz w:val="21"/>
                <w:szCs w:val="21"/>
                <w:highlight w:val="none"/>
                <w:lang w:eastAsia="en-US"/>
              </w:rPr>
            </w:pPr>
            <w:r>
              <w:rPr>
                <w:b/>
                <w:color w:val="auto"/>
                <w:w w:val="99"/>
                <w:sz w:val="21"/>
                <w:szCs w:val="21"/>
                <w:highlight w:val="none"/>
                <w:lang w:eastAsia="en-US"/>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1</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2</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before="2" w:line="360" w:lineRule="auto"/>
              <w:ind w:right="264"/>
              <w:jc w:val="right"/>
              <w:rPr>
                <w:color w:val="auto"/>
                <w:sz w:val="21"/>
                <w:szCs w:val="21"/>
                <w:highlight w:val="none"/>
                <w:lang w:eastAsia="en-US"/>
              </w:rPr>
            </w:pPr>
            <w:r>
              <w:rPr>
                <w:color w:val="auto"/>
                <w:sz w:val="21"/>
                <w:szCs w:val="21"/>
                <w:highlight w:val="none"/>
                <w:lang w:eastAsia="en-US"/>
              </w:rPr>
              <w:t>3</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tcBorders>
              <w:bottom w:val="single" w:color="000000" w:sz="6" w:space="0"/>
            </w:tcBorders>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4</w:t>
            </w:r>
          </w:p>
        </w:tc>
        <w:tc>
          <w:tcPr>
            <w:tcW w:w="1322"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1318"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1317"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938"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941"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669" w:type="dxa"/>
            <w:tcBorders>
              <w:bottom w:val="single" w:color="000000" w:sz="6" w:space="0"/>
            </w:tcBorders>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72" w:type="dxa"/>
            <w:tcBorders>
              <w:top w:val="single" w:color="000000" w:sz="6" w:space="0"/>
            </w:tcBorders>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5</w:t>
            </w:r>
          </w:p>
        </w:tc>
        <w:tc>
          <w:tcPr>
            <w:tcW w:w="1322"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1318"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1317"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938"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941"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669" w:type="dxa"/>
            <w:tcBorders>
              <w:top w:val="single" w:color="000000" w:sz="6" w:space="0"/>
            </w:tcBorders>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before="2" w:line="360" w:lineRule="auto"/>
              <w:ind w:right="264"/>
              <w:jc w:val="right"/>
              <w:rPr>
                <w:color w:val="auto"/>
                <w:sz w:val="21"/>
                <w:szCs w:val="21"/>
                <w:highlight w:val="none"/>
                <w:lang w:eastAsia="en-US"/>
              </w:rPr>
            </w:pPr>
            <w:r>
              <w:rPr>
                <w:color w:val="auto"/>
                <w:sz w:val="21"/>
                <w:szCs w:val="21"/>
                <w:highlight w:val="none"/>
                <w:lang w:eastAsia="en-US"/>
              </w:rPr>
              <w:t>6</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7</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8</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9</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before="57" w:line="360" w:lineRule="auto"/>
              <w:ind w:left="107"/>
              <w:rPr>
                <w:color w:val="auto"/>
                <w:sz w:val="21"/>
                <w:szCs w:val="21"/>
                <w:highlight w:val="none"/>
                <w:lang w:eastAsia="en-US"/>
              </w:rPr>
            </w:pPr>
            <w:r>
              <w:rPr>
                <w:color w:val="auto"/>
                <w:sz w:val="21"/>
                <w:szCs w:val="21"/>
                <w:highlight w:val="none"/>
                <w:lang w:eastAsia="en-US"/>
              </w:rPr>
              <w:t>其他费用</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line="360" w:lineRule="auto"/>
              <w:ind w:left="107"/>
              <w:rPr>
                <w:color w:val="auto"/>
                <w:sz w:val="21"/>
                <w:szCs w:val="21"/>
                <w:highlight w:val="none"/>
                <w:lang w:eastAsia="en-US"/>
              </w:rPr>
            </w:pPr>
            <w:r>
              <w:rPr>
                <w:color w:val="auto"/>
                <w:w w:val="200"/>
                <w:sz w:val="21"/>
                <w:szCs w:val="21"/>
                <w:highlight w:val="none"/>
                <w:lang w:eastAsia="en-US"/>
              </w:rPr>
              <w:t>„</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line="360" w:lineRule="auto"/>
              <w:ind w:left="107"/>
              <w:rPr>
                <w:color w:val="auto"/>
                <w:sz w:val="21"/>
                <w:szCs w:val="21"/>
                <w:highlight w:val="none"/>
                <w:lang w:eastAsia="en-US"/>
              </w:rPr>
            </w:pPr>
            <w:r>
              <w:rPr>
                <w:color w:val="auto"/>
                <w:w w:val="200"/>
                <w:sz w:val="21"/>
                <w:szCs w:val="21"/>
                <w:highlight w:val="none"/>
                <w:lang w:eastAsia="en-US"/>
              </w:rPr>
              <w:t>„</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line="360" w:lineRule="auto"/>
              <w:ind w:left="107"/>
              <w:rPr>
                <w:color w:val="auto"/>
                <w:sz w:val="21"/>
                <w:szCs w:val="21"/>
                <w:highlight w:val="none"/>
                <w:lang w:eastAsia="en-US"/>
              </w:rPr>
            </w:pPr>
            <w:r>
              <w:rPr>
                <w:color w:val="auto"/>
                <w:w w:val="200"/>
                <w:sz w:val="21"/>
                <w:szCs w:val="21"/>
                <w:highlight w:val="none"/>
                <w:lang w:eastAsia="en-US"/>
              </w:rPr>
              <w:t>„</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94" w:type="dxa"/>
            <w:gridSpan w:val="2"/>
            <w:noWrap w:val="0"/>
            <w:vAlign w:val="top"/>
          </w:tcPr>
          <w:p>
            <w:pPr>
              <w:pStyle w:val="25"/>
              <w:spacing w:before="55" w:line="360" w:lineRule="auto"/>
              <w:ind w:left="395"/>
              <w:rPr>
                <w:color w:val="auto"/>
                <w:sz w:val="21"/>
                <w:szCs w:val="21"/>
                <w:highlight w:val="none"/>
                <w:lang w:eastAsia="en-US"/>
              </w:rPr>
            </w:pPr>
            <w:r>
              <w:rPr>
                <w:color w:val="auto"/>
                <w:sz w:val="21"/>
                <w:szCs w:val="21"/>
                <w:highlight w:val="none"/>
                <w:lang w:eastAsia="en-US"/>
              </w:rPr>
              <w:t>合计（元）</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bl>
    <w:p>
      <w:pPr>
        <w:pStyle w:val="3"/>
        <w:spacing w:before="5" w:line="360" w:lineRule="auto"/>
        <w:rPr>
          <w:b/>
          <w:color w:val="auto"/>
          <w:sz w:val="21"/>
          <w:szCs w:val="21"/>
          <w:highlight w:val="none"/>
        </w:rPr>
      </w:pPr>
    </w:p>
    <w:p>
      <w:pPr>
        <w:spacing w:line="360" w:lineRule="auto"/>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pStyle w:val="3"/>
        <w:spacing w:line="360" w:lineRule="auto"/>
        <w:rPr>
          <w:b/>
          <w:color w:val="auto"/>
          <w:sz w:val="21"/>
          <w:szCs w:val="21"/>
          <w:highlight w:val="none"/>
        </w:rPr>
      </w:pPr>
    </w:p>
    <w:p>
      <w:pPr>
        <w:pStyle w:val="3"/>
        <w:spacing w:line="360" w:lineRule="auto"/>
        <w:rPr>
          <w:b/>
          <w:color w:val="auto"/>
          <w:sz w:val="21"/>
          <w:szCs w:val="21"/>
          <w:highlight w:val="none"/>
        </w:rPr>
      </w:pPr>
    </w:p>
    <w:p>
      <w:pPr>
        <w:pStyle w:val="3"/>
        <w:spacing w:before="9" w:line="360" w:lineRule="auto"/>
        <w:rPr>
          <w:b/>
          <w:color w:val="auto"/>
          <w:sz w:val="21"/>
          <w:szCs w:val="21"/>
          <w:highlight w:val="none"/>
        </w:rPr>
      </w:pPr>
    </w:p>
    <w:p>
      <w:pPr>
        <w:rPr>
          <w:b/>
          <w:color w:val="auto"/>
          <w:highlight w:val="none"/>
        </w:rPr>
      </w:pPr>
      <w:r>
        <w:rPr>
          <w:b/>
          <w:color w:val="auto"/>
          <w:highlight w:val="none"/>
        </w:rPr>
        <w:t>备注：</w:t>
      </w:r>
    </w:p>
    <w:p>
      <w:pPr>
        <w:pStyle w:val="3"/>
        <w:tabs>
          <w:tab w:val="left" w:pos="1280"/>
          <w:tab w:val="left" w:pos="4362"/>
        </w:tabs>
        <w:spacing w:before="10" w:line="360" w:lineRule="auto"/>
        <w:ind w:left="560" w:right="501"/>
        <w:rPr>
          <w:color w:val="auto"/>
          <w:sz w:val="21"/>
          <w:szCs w:val="21"/>
          <w:highlight w:val="none"/>
        </w:rPr>
      </w:pPr>
      <w:r>
        <w:rPr>
          <w:color w:val="auto"/>
          <w:sz w:val="21"/>
          <w:szCs w:val="21"/>
          <w:highlight w:val="none"/>
        </w:rPr>
        <w:br w:type="column"/>
      </w:r>
      <w:r>
        <w:rPr>
          <w:color w:val="auto"/>
          <w:sz w:val="21"/>
          <w:szCs w:val="21"/>
          <w:highlight w:val="none"/>
        </w:rPr>
        <w:t>供应商</w:t>
      </w:r>
      <w:r>
        <w:rPr>
          <w:rFonts w:hint="eastAsia"/>
          <w:color w:val="auto"/>
          <w:sz w:val="21"/>
          <w:szCs w:val="21"/>
          <w:highlight w:val="none"/>
          <w:lang w:val="en-US"/>
        </w:rPr>
        <w:t>公章</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rPr>
        <w:t>日</w:t>
      </w:r>
      <w:r>
        <w:rPr>
          <w:color w:val="auto"/>
          <w:sz w:val="21"/>
          <w:szCs w:val="21"/>
          <w:highlight w:val="none"/>
        </w:rPr>
        <w:tab/>
      </w:r>
      <w:r>
        <w:rPr>
          <w:color w:val="auto"/>
          <w:sz w:val="21"/>
          <w:szCs w:val="21"/>
          <w:highlight w:val="none"/>
        </w:rPr>
        <w:t>期：</w:t>
      </w:r>
      <w:r>
        <w:rPr>
          <w:color w:val="auto"/>
          <w:sz w:val="21"/>
          <w:szCs w:val="21"/>
          <w:highlight w:val="none"/>
          <w:u w:val="single"/>
        </w:rPr>
        <w:t xml:space="preserve"> </w:t>
      </w:r>
      <w:r>
        <w:rPr>
          <w:color w:val="auto"/>
          <w:sz w:val="21"/>
          <w:szCs w:val="21"/>
          <w:highlight w:val="none"/>
          <w:u w:val="single"/>
        </w:rPr>
        <w:tab/>
      </w:r>
    </w:p>
    <w:p>
      <w:pPr>
        <w:spacing w:line="360" w:lineRule="auto"/>
        <w:rPr>
          <w:rFonts w:ascii="宋体" w:hAnsi="宋体"/>
          <w:color w:val="auto"/>
          <w:highlight w:val="none"/>
        </w:rPr>
        <w:sectPr>
          <w:type w:val="continuous"/>
          <w:pgSz w:w="11910" w:h="16840"/>
          <w:pgMar w:top="1400" w:right="1240" w:bottom="280" w:left="1240" w:header="720" w:footer="720" w:gutter="0"/>
          <w:pgBorders>
            <w:top w:val="none" w:sz="0" w:space="0"/>
            <w:left w:val="none" w:sz="0" w:space="0"/>
            <w:bottom w:val="none" w:sz="0" w:space="0"/>
            <w:right w:val="none" w:sz="0" w:space="0"/>
          </w:pgBorders>
          <w:cols w:equalWidth="0" w:num="2">
            <w:col w:w="1323" w:space="3238"/>
            <w:col w:w="4869"/>
          </w:cols>
        </w:sectPr>
      </w:pPr>
    </w:p>
    <w:p>
      <w:pPr>
        <w:pStyle w:val="3"/>
        <w:spacing w:before="10" w:line="360" w:lineRule="auto"/>
        <w:rPr>
          <w:color w:val="auto"/>
          <w:sz w:val="21"/>
          <w:szCs w:val="21"/>
          <w:highlight w:val="none"/>
        </w:rPr>
      </w:pPr>
    </w:p>
    <w:p>
      <w:pPr>
        <w:pStyle w:val="26"/>
        <w:numPr>
          <w:ilvl w:val="2"/>
          <w:numId w:val="12"/>
        </w:numPr>
        <w:tabs>
          <w:tab w:val="left" w:pos="1238"/>
        </w:tabs>
        <w:autoSpaceDE w:val="0"/>
        <w:autoSpaceDN w:val="0"/>
        <w:spacing w:before="66" w:line="360" w:lineRule="auto"/>
        <w:ind w:right="437" w:firstLine="434" w:firstLineChars="0"/>
        <w:rPr>
          <w:rFonts w:ascii="宋体" w:hAnsi="宋体"/>
          <w:color w:val="auto"/>
          <w:szCs w:val="21"/>
          <w:highlight w:val="none"/>
        </w:rPr>
      </w:pPr>
      <w:r>
        <w:rPr>
          <w:rFonts w:ascii="宋体" w:hAnsi="宋体"/>
          <w:color w:val="auto"/>
          <w:szCs w:val="21"/>
          <w:highlight w:val="none"/>
        </w:rPr>
        <w:t>表中所列货物为对应本项目需求的全部货物及所需附件购置费、包装费、运输费、人工费、保险费、安装调试费、各种税费、资料费、售后服务费及完成项目应有的全部费用。如有漏项或缺项，供应商承担全部责任。</w:t>
      </w:r>
    </w:p>
    <w:p>
      <w:pPr>
        <w:spacing w:line="360" w:lineRule="auto"/>
        <w:rPr>
          <w:rFonts w:ascii="宋体" w:hAnsi="宋体"/>
          <w:color w:val="auto"/>
          <w:highlight w:val="none"/>
        </w:rPr>
        <w:sectPr>
          <w:type w:val="continuous"/>
          <w:pgSz w:w="11910" w:h="16840"/>
          <w:pgMar w:top="1400" w:right="1240" w:bottom="280" w:left="1240" w:header="720" w:footer="720" w:gutter="0"/>
          <w:pgBorders>
            <w:top w:val="none" w:sz="0" w:space="0"/>
            <w:left w:val="none" w:sz="0" w:space="0"/>
            <w:bottom w:val="none" w:sz="0" w:space="0"/>
            <w:right w:val="none" w:sz="0" w:space="0"/>
          </w:pgBorders>
          <w:cols w:space="720" w:num="1"/>
        </w:sect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ascii="宋体" w:hAnsi="宋体" w:cs="宋体"/>
          <w:color w:val="auto"/>
          <w:kern w:val="0"/>
          <w:sz w:val="21"/>
          <w:szCs w:val="21"/>
          <w:highlight w:val="none"/>
          <w:lang w:val="zh-CN" w:bidi="zh-CN"/>
        </w:rPr>
        <w:t>二、最后承诺报价表</w:t>
      </w:r>
    </w:p>
    <w:p>
      <w:pPr>
        <w:pStyle w:val="3"/>
        <w:spacing w:before="7" w:line="360" w:lineRule="auto"/>
        <w:rPr>
          <w:b/>
          <w:color w:val="auto"/>
          <w:sz w:val="21"/>
          <w:szCs w:val="21"/>
          <w:highlight w:val="none"/>
        </w:rPr>
      </w:pPr>
    </w:p>
    <w:p>
      <w:pPr>
        <w:autoSpaceDE w:val="0"/>
        <w:autoSpaceDN w:val="0"/>
        <w:spacing w:line="360" w:lineRule="auto"/>
        <w:ind w:left="29" w:leftChars="14" w:firstLine="211" w:firstLineChars="1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pPr>
        <w:rPr>
          <w:color w:val="auto"/>
          <w:highlight w:val="none"/>
        </w:rPr>
      </w:pPr>
    </w:p>
    <w:tbl>
      <w:tblPr>
        <w:tblStyle w:val="19"/>
        <w:tblW w:w="8525"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461" w:type="dxa"/>
            <w:noWrap w:val="0"/>
            <w:vAlign w:val="top"/>
          </w:tcPr>
          <w:p>
            <w:pPr>
              <w:pStyle w:val="2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center"/>
          </w:tcPr>
          <w:p>
            <w:pPr>
              <w:pStyle w:val="33"/>
              <w:jc w:val="center"/>
              <w:rPr>
                <w:rFonts w:ascii="宋体" w:hAnsi="宋体" w:eastAsia="宋体" w:cs="宋体"/>
                <w:b/>
                <w:color w:val="auto"/>
                <w:sz w:val="21"/>
                <w:szCs w:val="21"/>
                <w:highlight w:val="none"/>
                <w:lang w:val="zh-CN" w:eastAsia="en-US" w:bidi="zh-CN"/>
              </w:rPr>
            </w:pPr>
            <w:r>
              <w:rPr>
                <w:rFonts w:hint="eastAsia" w:ascii="宋体" w:hAnsi="宋体" w:eastAsia="宋体" w:cs="宋体"/>
                <w:b/>
                <w:color w:val="auto"/>
                <w:sz w:val="21"/>
                <w:szCs w:val="21"/>
                <w:highlight w:val="none"/>
                <w:lang w:bidi="zh-CN"/>
              </w:rPr>
              <w:t>最终</w:t>
            </w:r>
            <w:r>
              <w:rPr>
                <w:rFonts w:hint="eastAsia" w:ascii="宋体" w:hAnsi="宋体" w:eastAsia="宋体" w:cs="宋体"/>
                <w:b/>
                <w:color w:val="auto"/>
                <w:sz w:val="21"/>
                <w:szCs w:val="21"/>
                <w:highlight w:val="none"/>
                <w:lang w:val="zh-CN" w:eastAsia="en-US" w:bidi="zh-CN"/>
              </w:rPr>
              <w:t>响应</w:t>
            </w:r>
          </w:p>
          <w:p>
            <w:pPr>
              <w:pStyle w:val="33"/>
              <w:jc w:val="center"/>
              <w:rPr>
                <w:b/>
                <w:color w:val="auto"/>
                <w:sz w:val="21"/>
                <w:szCs w:val="21"/>
                <w:highlight w:val="none"/>
                <w:lang w:eastAsia="en-US"/>
              </w:rPr>
            </w:pPr>
            <w:r>
              <w:rPr>
                <w:rFonts w:hint="eastAsia" w:ascii="宋体" w:hAnsi="宋体" w:eastAsia="宋体" w:cs="宋体"/>
                <w:b/>
                <w:color w:val="auto"/>
                <w:sz w:val="21"/>
                <w:szCs w:val="21"/>
                <w:highlight w:val="none"/>
                <w:lang w:val="zh-CN" w:eastAsia="en-US" w:bidi="zh-CN"/>
              </w:rPr>
              <w:t>总报价</w:t>
            </w:r>
          </w:p>
        </w:tc>
        <w:tc>
          <w:tcPr>
            <w:tcW w:w="6064" w:type="dxa"/>
            <w:noWrap w:val="0"/>
            <w:vAlign w:val="center"/>
          </w:tcPr>
          <w:p>
            <w:pPr>
              <w:rPr>
                <w:color w:val="auto"/>
                <w:highlight w:val="none"/>
              </w:rPr>
            </w:pPr>
            <w:r>
              <w:rPr>
                <w:rFonts w:hint="eastAsia"/>
                <w:color w:val="auto"/>
                <w:highlight w:val="none"/>
              </w:rPr>
              <w:t xml:space="preserve">       大写：</w:t>
            </w:r>
          </w:p>
          <w:p>
            <w:pPr>
              <w:rPr>
                <w:color w:val="auto"/>
                <w:highlight w:val="none"/>
              </w:rPr>
            </w:pPr>
          </w:p>
          <w:p>
            <w:pPr>
              <w:rPr>
                <w:color w:val="auto"/>
                <w:highlight w:val="none"/>
              </w:rPr>
            </w:pPr>
            <w:r>
              <w:rPr>
                <w:rFonts w:hint="eastAsia"/>
                <w:color w:val="auto"/>
                <w:highlight w:val="none"/>
              </w:rPr>
              <w:t xml:space="preserve">       小写：   </w:t>
            </w:r>
          </w:p>
          <w:p>
            <w:pPr>
              <w:pStyle w:val="11"/>
              <w:ind w:left="0" w:leftChars="0" w:firstLine="0" w:firstLineChars="0"/>
              <w:jc w:val="left"/>
              <w:rPr>
                <w:b/>
                <w:color w:val="auto"/>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461" w:type="dxa"/>
            <w:noWrap w:val="0"/>
            <w:vAlign w:val="top"/>
          </w:tcPr>
          <w:p>
            <w:pPr>
              <w:pStyle w:val="25"/>
              <w:spacing w:before="161" w:line="360" w:lineRule="auto"/>
              <w:ind w:right="238" w:firstLine="1054" w:firstLineChars="500"/>
              <w:jc w:val="both"/>
              <w:rPr>
                <w:b/>
                <w:color w:val="auto"/>
                <w:sz w:val="21"/>
                <w:szCs w:val="21"/>
                <w:highlight w:val="none"/>
              </w:rPr>
            </w:pPr>
            <w:r>
              <w:rPr>
                <w:rFonts w:hint="eastAsia"/>
                <w:b/>
                <w:color w:val="auto"/>
                <w:sz w:val="21"/>
                <w:szCs w:val="21"/>
                <w:highlight w:val="none"/>
              </w:rPr>
              <w:t>供货期</w:t>
            </w:r>
          </w:p>
        </w:tc>
        <w:tc>
          <w:tcPr>
            <w:tcW w:w="6064" w:type="dxa"/>
            <w:noWrap w:val="0"/>
            <w:vAlign w:val="center"/>
          </w:tcPr>
          <w:p>
            <w:pPr>
              <w:pStyle w:val="25"/>
              <w:tabs>
                <w:tab w:val="left" w:pos="4482"/>
              </w:tabs>
              <w:spacing w:line="360" w:lineRule="auto"/>
              <w:jc w:val="both"/>
              <w:rPr>
                <w:color w:val="auto"/>
                <w:sz w:val="21"/>
                <w:szCs w:val="21"/>
                <w:highlight w:val="none"/>
                <w:lang w:val="en-US"/>
              </w:rPr>
            </w:pPr>
            <w:r>
              <w:rPr>
                <w:rFonts w:hint="eastAsia"/>
                <w:color w:val="auto"/>
                <w:sz w:val="21"/>
                <w:szCs w:val="21"/>
                <w:highlight w:val="non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461" w:type="dxa"/>
            <w:noWrap w:val="0"/>
            <w:vAlign w:val="center"/>
          </w:tcPr>
          <w:p>
            <w:pPr>
              <w:widowControl/>
              <w:jc w:val="center"/>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质保期</w:t>
            </w:r>
          </w:p>
        </w:tc>
        <w:tc>
          <w:tcPr>
            <w:tcW w:w="6064"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center"/>
          </w:tcPr>
          <w:p>
            <w:pPr>
              <w:widowControl/>
              <w:jc w:val="center"/>
              <w:rPr>
                <w:rFonts w:ascii="宋体" w:hAnsi="宋体" w:cs="宋体"/>
                <w:b/>
                <w:color w:val="auto"/>
                <w:kern w:val="0"/>
                <w:highlight w:val="none"/>
                <w:lang w:val="zh-CN" w:eastAsia="en-US" w:bidi="zh-CN"/>
              </w:rPr>
            </w:pPr>
            <w:r>
              <w:rPr>
                <w:rFonts w:hint="eastAsia" w:ascii="宋体" w:hAnsi="宋体" w:cs="宋体"/>
                <w:b/>
                <w:color w:val="auto"/>
                <w:kern w:val="0"/>
                <w:highlight w:val="none"/>
                <w:lang w:val="zh-CN" w:bidi="zh-CN"/>
              </w:rPr>
              <w:t>质量标准</w:t>
            </w:r>
          </w:p>
        </w:tc>
        <w:tc>
          <w:tcPr>
            <w:tcW w:w="6064" w:type="dxa"/>
            <w:noWrap w:val="0"/>
            <w:vAlign w:val="top"/>
          </w:tcPr>
          <w:p>
            <w:pPr>
              <w:pStyle w:val="25"/>
              <w:spacing w:line="360" w:lineRule="auto"/>
              <w:rPr>
                <w:color w:val="auto"/>
                <w:sz w:val="21"/>
                <w:szCs w:val="21"/>
                <w:highlight w:val="none"/>
                <w:lang w:eastAsia="en-US"/>
              </w:rPr>
            </w:pPr>
          </w:p>
        </w:tc>
      </w:tr>
    </w:tbl>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注：</w:t>
      </w:r>
      <w:r>
        <w:rPr>
          <w:rFonts w:hint="eastAsia" w:ascii="宋体" w:hAnsi="宋体" w:cs="宋体"/>
          <w:b/>
          <w:color w:val="auto"/>
          <w:kern w:val="0"/>
          <w:highlight w:val="none"/>
          <w:lang w:val="zh-CN" w:bidi="zh-CN"/>
        </w:rPr>
        <w:t>1、本表内容根据磋商文件要求包括了</w:t>
      </w:r>
      <w:r>
        <w:rPr>
          <w:rFonts w:hint="eastAsia" w:ascii="宋体" w:hAnsi="宋体" w:cs="宋体"/>
          <w:b/>
          <w:color w:val="auto"/>
          <w:kern w:val="0"/>
          <w:highlight w:val="none"/>
          <w:lang w:bidi="zh-CN"/>
        </w:rPr>
        <w:t>货物</w:t>
      </w:r>
      <w:r>
        <w:rPr>
          <w:rFonts w:hint="eastAsia" w:ascii="宋体" w:hAnsi="宋体" w:cs="宋体"/>
          <w:b/>
          <w:color w:val="auto"/>
          <w:kern w:val="0"/>
          <w:highlight w:val="none"/>
          <w:lang w:val="zh-CN" w:bidi="zh-CN"/>
        </w:rPr>
        <w:t>及其配套的设计、采购、制造、检测、试验、运输、保险、仓储、税费以及现场落地、安装及安装耗损、调试、验收、培训、技术服务（包括技术资料、图纸的提供）质保期内的售后服务保障等所有费用。</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2、</w:t>
      </w:r>
      <w:r>
        <w:rPr>
          <w:rFonts w:ascii="宋体" w:hAnsi="宋体" w:cs="宋体"/>
          <w:b/>
          <w:color w:val="auto"/>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3、在报价表内未有明确列述的项目费用应视为包括在总报价之内。</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4、响应价格为固定不变价。在合同期内，该价格不因市场价格的变动而发生变动。</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5、本表用于</w:t>
      </w:r>
      <w:r>
        <w:rPr>
          <w:rFonts w:hint="eastAsia" w:ascii="宋体" w:hAnsi="宋体" w:cs="宋体"/>
          <w:b/>
          <w:color w:val="auto"/>
          <w:kern w:val="0"/>
          <w:highlight w:val="none"/>
          <w:lang w:bidi="zh-CN"/>
        </w:rPr>
        <w:t>多轮</w:t>
      </w:r>
      <w:r>
        <w:rPr>
          <w:rFonts w:hint="eastAsia" w:ascii="宋体" w:hAnsi="宋体" w:cs="宋体"/>
          <w:b/>
          <w:color w:val="auto"/>
          <w:kern w:val="0"/>
          <w:highlight w:val="none"/>
          <w:lang w:val="zh-CN" w:bidi="zh-CN"/>
        </w:rPr>
        <w:t>报价，供应商须在响应文件中装订一份未填写响应报价的表格，另备几份手持。</w:t>
      </w:r>
    </w:p>
    <w:p>
      <w:pPr>
        <w:pStyle w:val="11"/>
        <w:ind w:firstLine="422"/>
        <w:rPr>
          <w:rFonts w:ascii="宋体" w:hAnsi="宋体" w:eastAsia="宋体" w:cs="宋体"/>
          <w:b/>
          <w:color w:val="auto"/>
          <w:kern w:val="0"/>
          <w:highlight w:val="none"/>
          <w:lang w:bidi="zh-CN"/>
        </w:rPr>
      </w:pPr>
      <w:r>
        <w:rPr>
          <w:rFonts w:hint="eastAsia" w:ascii="宋体" w:hAnsi="宋体" w:eastAsia="宋体" w:cs="宋体"/>
          <w:b/>
          <w:color w:val="auto"/>
          <w:kern w:val="0"/>
          <w:highlight w:val="none"/>
          <w:lang w:val="zh-CN" w:bidi="zh-CN"/>
        </w:rPr>
        <w:t xml:space="preserve"> </w:t>
      </w:r>
      <w:r>
        <w:rPr>
          <w:rFonts w:hint="eastAsia" w:ascii="宋体" w:hAnsi="宋体" w:eastAsia="宋体" w:cs="宋体"/>
          <w:b/>
          <w:color w:val="auto"/>
          <w:kern w:val="0"/>
          <w:highlight w:val="none"/>
          <w:lang w:bidi="zh-CN"/>
        </w:rPr>
        <w:t xml:space="preserve">                                    </w:t>
      </w:r>
    </w:p>
    <w:p>
      <w:pPr>
        <w:pStyle w:val="11"/>
        <w:ind w:firstLine="4006" w:firstLineChars="1900"/>
        <w:rPr>
          <w:rFonts w:ascii="宋体" w:hAnsi="宋体" w:eastAsia="宋体" w:cs="宋体"/>
          <w:bCs/>
          <w:color w:val="auto"/>
          <w:kern w:val="0"/>
          <w:highlight w:val="none"/>
          <w:lang w:val="zh-CN" w:bidi="zh-CN"/>
        </w:rPr>
      </w:pPr>
      <w:r>
        <w:rPr>
          <w:rFonts w:hint="eastAsia" w:ascii="宋体" w:hAnsi="宋体" w:eastAsia="宋体" w:cs="宋体"/>
          <w:b/>
          <w:color w:val="auto"/>
          <w:kern w:val="0"/>
          <w:highlight w:val="none"/>
          <w:lang w:bidi="zh-CN"/>
        </w:rPr>
        <w:t xml:space="preserve">  </w:t>
      </w:r>
      <w:r>
        <w:rPr>
          <w:rFonts w:hint="eastAsia" w:ascii="宋体" w:hAnsi="宋体" w:eastAsia="宋体" w:cs="宋体"/>
          <w:bCs/>
          <w:color w:val="auto"/>
          <w:kern w:val="0"/>
          <w:highlight w:val="none"/>
          <w:lang w:val="zh-CN" w:bidi="zh-CN"/>
        </w:rPr>
        <w:t>供应商：</w:t>
      </w:r>
      <w:r>
        <w:rPr>
          <w:rFonts w:hint="eastAsia" w:ascii="宋体" w:hAnsi="宋体" w:eastAsia="宋体" w:cs="宋体"/>
          <w:bCs/>
          <w:color w:val="auto"/>
          <w:kern w:val="0"/>
          <w:highlight w:val="none"/>
          <w:u w:val="single"/>
          <w:lang w:val="zh-CN" w:bidi="zh-CN"/>
        </w:rPr>
        <w:t xml:space="preserve">      </w:t>
      </w:r>
      <w:r>
        <w:rPr>
          <w:rFonts w:hint="eastAsia" w:ascii="宋体" w:hAnsi="宋体" w:eastAsia="宋体" w:cs="宋体"/>
          <w:bCs/>
          <w:color w:val="auto"/>
          <w:kern w:val="0"/>
          <w:highlight w:val="none"/>
          <w:u w:val="single"/>
          <w:lang w:bidi="zh-CN"/>
        </w:rPr>
        <w:t xml:space="preserve">    </w:t>
      </w:r>
      <w:r>
        <w:rPr>
          <w:rFonts w:hint="eastAsia" w:ascii="宋体" w:hAnsi="宋体" w:eastAsia="宋体" w:cs="宋体"/>
          <w:bCs/>
          <w:color w:val="auto"/>
          <w:kern w:val="0"/>
          <w:highlight w:val="none"/>
          <w:u w:val="single"/>
          <w:lang w:val="zh-CN" w:bidi="zh-CN"/>
        </w:rPr>
        <w:t xml:space="preserve">         </w:t>
      </w:r>
      <w:r>
        <w:rPr>
          <w:rFonts w:hint="eastAsia" w:ascii="宋体" w:hAnsi="宋体" w:eastAsia="宋体" w:cs="宋体"/>
          <w:bCs/>
          <w:color w:val="auto"/>
          <w:kern w:val="0"/>
          <w:highlight w:val="none"/>
          <w:lang w:val="zh-CN" w:bidi="zh-CN"/>
        </w:rPr>
        <w:t>（盖单位章）</w:t>
      </w:r>
    </w:p>
    <w:p>
      <w:pPr>
        <w:pStyle w:val="3"/>
        <w:tabs>
          <w:tab w:val="left" w:pos="5841"/>
          <w:tab w:val="left" w:pos="8896"/>
        </w:tabs>
        <w:spacing w:before="79" w:line="360" w:lineRule="auto"/>
        <w:ind w:left="5121" w:right="501" w:hanging="601"/>
        <w:rPr>
          <w:bCs/>
          <w:color w:val="auto"/>
          <w:sz w:val="21"/>
          <w:szCs w:val="21"/>
          <w:highlight w:val="none"/>
          <w:u w:val="single"/>
        </w:rPr>
      </w:pPr>
      <w:r>
        <w:rPr>
          <w:bCs/>
          <w:color w:val="auto"/>
          <w:sz w:val="21"/>
          <w:szCs w:val="21"/>
          <w:highlight w:val="none"/>
        </w:rPr>
        <w:t>供应商</w:t>
      </w:r>
      <w:r>
        <w:rPr>
          <w:rFonts w:hint="eastAsia"/>
          <w:bCs/>
          <w:color w:val="auto"/>
          <w:sz w:val="21"/>
          <w:szCs w:val="21"/>
          <w:highlight w:val="none"/>
          <w:lang w:val="en-US"/>
        </w:rPr>
        <w:t>法定代表</w:t>
      </w:r>
      <w:r>
        <w:rPr>
          <w:bCs/>
          <w:color w:val="auto"/>
          <w:sz w:val="21"/>
          <w:szCs w:val="21"/>
          <w:highlight w:val="none"/>
        </w:rPr>
        <w:t>或授权代表签字：</w:t>
      </w:r>
      <w:r>
        <w:rPr>
          <w:bCs/>
          <w:color w:val="auto"/>
          <w:sz w:val="21"/>
          <w:szCs w:val="21"/>
          <w:highlight w:val="none"/>
          <w:u w:val="single"/>
        </w:rPr>
        <w:t xml:space="preserve"> </w:t>
      </w:r>
      <w:r>
        <w:rPr>
          <w:bCs/>
          <w:color w:val="auto"/>
          <w:sz w:val="21"/>
          <w:szCs w:val="21"/>
          <w:highlight w:val="none"/>
          <w:u w:val="single"/>
        </w:rPr>
        <w:tab/>
      </w:r>
      <w:r>
        <w:rPr>
          <w:bCs/>
          <w:color w:val="auto"/>
          <w:sz w:val="21"/>
          <w:szCs w:val="21"/>
          <w:highlight w:val="none"/>
          <w:u w:val="single"/>
        </w:rPr>
        <w:t xml:space="preserve"> </w:t>
      </w:r>
    </w:p>
    <w:p>
      <w:pPr>
        <w:pStyle w:val="3"/>
        <w:tabs>
          <w:tab w:val="left" w:pos="5841"/>
          <w:tab w:val="left" w:pos="8896"/>
        </w:tabs>
        <w:spacing w:before="79" w:line="360" w:lineRule="auto"/>
        <w:ind w:left="5121" w:right="501" w:hanging="601"/>
        <w:rPr>
          <w:bCs/>
          <w:color w:val="auto"/>
          <w:sz w:val="21"/>
          <w:szCs w:val="21"/>
          <w:highlight w:val="none"/>
        </w:rPr>
      </w:pPr>
      <w:r>
        <w:rPr>
          <w:bCs/>
          <w:color w:val="auto"/>
          <w:sz w:val="21"/>
          <w:szCs w:val="21"/>
          <w:highlight w:val="none"/>
        </w:rPr>
        <w:t>日</w:t>
      </w:r>
      <w:r>
        <w:rPr>
          <w:bCs/>
          <w:color w:val="auto"/>
          <w:sz w:val="21"/>
          <w:szCs w:val="21"/>
          <w:highlight w:val="none"/>
        </w:rPr>
        <w:tab/>
      </w:r>
      <w:r>
        <w:rPr>
          <w:bCs/>
          <w:color w:val="auto"/>
          <w:sz w:val="21"/>
          <w:szCs w:val="21"/>
          <w:highlight w:val="none"/>
        </w:rPr>
        <w:t>期：</w:t>
      </w:r>
      <w:r>
        <w:rPr>
          <w:bCs/>
          <w:color w:val="auto"/>
          <w:sz w:val="21"/>
          <w:szCs w:val="21"/>
          <w:highlight w:val="none"/>
          <w:u w:val="single"/>
        </w:rPr>
        <w:t xml:space="preserve"> </w:t>
      </w:r>
      <w:r>
        <w:rPr>
          <w:rFonts w:hint="eastAsia"/>
          <w:bCs/>
          <w:color w:val="auto"/>
          <w:sz w:val="21"/>
          <w:szCs w:val="21"/>
          <w:highlight w:val="none"/>
          <w:u w:val="single"/>
        </w:rPr>
        <w:t xml:space="preserve">   </w:t>
      </w:r>
      <w:r>
        <w:rPr>
          <w:bCs/>
          <w:color w:val="auto"/>
          <w:sz w:val="21"/>
          <w:szCs w:val="21"/>
          <w:highlight w:val="none"/>
          <w:u w:val="single"/>
        </w:rPr>
        <w:tab/>
      </w:r>
      <w:r>
        <w:rPr>
          <w:bCs/>
          <w:color w:val="auto"/>
          <w:w w:val="15"/>
          <w:sz w:val="21"/>
          <w:szCs w:val="21"/>
          <w:highlight w:val="none"/>
          <w:u w:val="single"/>
        </w:rPr>
        <w:t xml:space="preserve"> </w:t>
      </w:r>
    </w:p>
    <w:p>
      <w:pPr>
        <w:pStyle w:val="11"/>
        <w:ind w:firstLine="422"/>
        <w:rPr>
          <w:rFonts w:ascii="宋体" w:hAnsi="宋体" w:eastAsia="宋体" w:cs="宋体"/>
          <w:b/>
          <w:color w:val="auto"/>
          <w:kern w:val="0"/>
          <w:highlight w:val="none"/>
          <w:lang w:val="zh-CN" w:bidi="zh-CN"/>
        </w:rPr>
      </w:pPr>
    </w:p>
    <w:p>
      <w:pPr>
        <w:pStyle w:val="8"/>
        <w:ind w:firstLine="562"/>
        <w:rPr>
          <w:rFonts w:ascii="宋体" w:hAnsi="宋体" w:cs="宋体"/>
          <w:b/>
          <w:color w:val="auto"/>
          <w:kern w:val="0"/>
          <w:highlight w:val="none"/>
          <w:lang w:val="zh-CN" w:bidi="zh-CN"/>
        </w:rPr>
      </w:pPr>
    </w:p>
    <w:p>
      <w:pPr>
        <w:pStyle w:val="8"/>
        <w:ind w:firstLine="562"/>
        <w:rPr>
          <w:rFonts w:ascii="宋体" w:hAnsi="宋体" w:cs="宋体"/>
          <w:b/>
          <w:color w:val="auto"/>
          <w:kern w:val="0"/>
          <w:highlight w:val="none"/>
          <w:lang w:val="zh-CN" w:bidi="zh-CN"/>
        </w:rPr>
      </w:pPr>
    </w:p>
    <w:p>
      <w:pPr>
        <w:spacing w:line="420" w:lineRule="exact"/>
        <w:outlineLvl w:val="1"/>
        <w:rPr>
          <w:rFonts w:ascii="方正宋黑简体" w:hAnsi="宋体" w:eastAsia="方正宋黑简体" w:cs="黑体"/>
          <w:b/>
          <w:bCs/>
          <w:color w:val="auto"/>
          <w:sz w:val="32"/>
          <w:szCs w:val="32"/>
          <w:highlight w:val="none"/>
        </w:rPr>
      </w:pPr>
      <w:bookmarkStart w:id="156" w:name="_Toc10063"/>
      <w:bookmarkStart w:id="157" w:name="_Toc516240284"/>
      <w:bookmarkStart w:id="158" w:name="_Toc516240337"/>
      <w:bookmarkStart w:id="159" w:name="_Toc466549695"/>
    </w:p>
    <w:p>
      <w:pPr>
        <w:spacing w:line="420" w:lineRule="exact"/>
        <w:jc w:val="center"/>
        <w:outlineLvl w:val="1"/>
        <w:rPr>
          <w:rFonts w:ascii="方正宋黑简体" w:hAnsi="宋体" w:eastAsia="方正宋黑简体" w:cs="黑体"/>
          <w:b/>
          <w:bCs/>
          <w:color w:val="auto"/>
          <w:sz w:val="32"/>
          <w:szCs w:val="32"/>
          <w:highlight w:val="none"/>
        </w:rPr>
      </w:pPr>
      <w:r>
        <w:rPr>
          <w:rFonts w:hint="eastAsia" w:ascii="方正宋黑简体" w:hAnsi="宋体" w:eastAsia="方正宋黑简体" w:cs="黑体"/>
          <w:b/>
          <w:bCs/>
          <w:color w:val="auto"/>
          <w:sz w:val="32"/>
          <w:szCs w:val="32"/>
          <w:highlight w:val="none"/>
        </w:rPr>
        <w:t>三、供应商诚信承诺书</w:t>
      </w:r>
      <w:bookmarkEnd w:id="156"/>
      <w:bookmarkEnd w:id="157"/>
      <w:bookmarkEnd w:id="158"/>
      <w:bookmarkEnd w:id="159"/>
    </w:p>
    <w:p>
      <w:pPr>
        <w:pStyle w:val="11"/>
        <w:rPr>
          <w:color w:val="auto"/>
          <w:highlight w:val="none"/>
        </w:rPr>
      </w:pPr>
    </w:p>
    <w:p>
      <w:pPr>
        <w:pStyle w:val="3"/>
        <w:spacing w:before="10" w:line="360" w:lineRule="auto"/>
        <w:rPr>
          <w:color w:val="auto"/>
          <w:sz w:val="21"/>
          <w:szCs w:val="21"/>
          <w:highlight w:val="none"/>
        </w:rPr>
      </w:pPr>
      <w:r>
        <w:rPr>
          <w:rFonts w:hint="eastAsia"/>
          <w:color w:val="auto"/>
          <w:sz w:val="21"/>
          <w:szCs w:val="21"/>
          <w:highlight w:val="none"/>
        </w:rPr>
        <w:t>我单位参加本次政府采购活动，郑重承诺如下：</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 </w:t>
      </w:r>
      <w:r>
        <w:rPr>
          <w:rFonts w:hint="eastAsia"/>
          <w:color w:val="auto"/>
          <w:sz w:val="21"/>
          <w:szCs w:val="21"/>
          <w:highlight w:val="none"/>
          <w:lang w:val="en-US"/>
        </w:rPr>
        <w:t xml:space="preserve">  1、</w:t>
      </w:r>
      <w:r>
        <w:rPr>
          <w:rFonts w:hint="eastAsia"/>
          <w:color w:val="auto"/>
          <w:sz w:val="21"/>
          <w:szCs w:val="21"/>
          <w:highlight w:val="none"/>
        </w:rPr>
        <w:t>本次投标提供的所有资料都是真实有效、准确完整。如发现提供虚假资料或与事实不符，同意取消投标和中标候选人资格。</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lang w:val="en-US"/>
        </w:rPr>
        <w:t xml:space="preserve">    </w:t>
      </w:r>
      <w:r>
        <w:rPr>
          <w:rFonts w:hint="eastAsia"/>
          <w:color w:val="auto"/>
          <w:sz w:val="21"/>
          <w:szCs w:val="21"/>
          <w:highlight w:val="none"/>
        </w:rPr>
        <w:t>2．本次投标绝无资质挂靠、串标、围标情形。否则，同意取消投标和中标候选人资格。</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lang w:val="en-US"/>
        </w:rPr>
        <w:t xml:space="preserve">    </w:t>
      </w:r>
      <w:r>
        <w:rPr>
          <w:rFonts w:hint="eastAsia"/>
          <w:color w:val="auto"/>
          <w:sz w:val="21"/>
          <w:szCs w:val="21"/>
          <w:highlight w:val="none"/>
        </w:rPr>
        <w:t>3．本次招标如我方为中标人，除不可抗力外，决不因任何其它原因放弃中标候选人资格。</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lang w:val="en-US"/>
        </w:rPr>
        <w:t xml:space="preserve">   </w:t>
      </w:r>
      <w:r>
        <w:rPr>
          <w:rFonts w:hint="eastAsia"/>
          <w:color w:val="auto"/>
          <w:sz w:val="21"/>
          <w:szCs w:val="21"/>
          <w:highlight w:val="none"/>
        </w:rPr>
        <w:t>5、我方中标后，严格按照招标文件和我单位投标文件的约定签订合同。</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6、我方达不到招标公告供应商资格要求条件参与投标或被行政主管部门、监督管理部门等暂停、取消公共资源交易资格且在限制期内参与投标的，同意视为弄虚作假进行处理。</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7、我方参加投标决不故意非实质性响应招标文件（如投标报价高于或等于该项目最高投标限价等）。否则，同意视为串通投标进行处理。</w:t>
      </w:r>
    </w:p>
    <w:p>
      <w:pPr>
        <w:pStyle w:val="3"/>
        <w:spacing w:before="10" w:line="360" w:lineRule="auto"/>
        <w:rPr>
          <w:color w:val="auto"/>
          <w:sz w:val="21"/>
          <w:szCs w:val="21"/>
          <w:highlight w:val="none"/>
        </w:rPr>
      </w:pPr>
      <w:r>
        <w:rPr>
          <w:rFonts w:hint="eastAsia"/>
          <w:color w:val="auto"/>
          <w:sz w:val="21"/>
          <w:szCs w:val="21"/>
          <w:highlight w:val="none"/>
        </w:rPr>
        <w:t>8、我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pStyle w:val="3"/>
        <w:spacing w:before="10" w:line="360" w:lineRule="auto"/>
        <w:rPr>
          <w:color w:val="auto"/>
          <w:sz w:val="21"/>
          <w:szCs w:val="21"/>
          <w:highlight w:val="none"/>
        </w:rPr>
      </w:pPr>
      <w:r>
        <w:rPr>
          <w:rFonts w:hint="eastAsia"/>
          <w:color w:val="auto"/>
          <w:sz w:val="21"/>
          <w:szCs w:val="21"/>
          <w:highlight w:val="none"/>
        </w:rPr>
        <w:t>9、我单位承诺不存在以下不良信用记录情形：</w:t>
      </w:r>
    </w:p>
    <w:p>
      <w:pPr>
        <w:pStyle w:val="3"/>
        <w:spacing w:before="10" w:line="360" w:lineRule="auto"/>
        <w:rPr>
          <w:color w:val="auto"/>
          <w:sz w:val="21"/>
          <w:szCs w:val="21"/>
          <w:highlight w:val="none"/>
        </w:rPr>
      </w:pPr>
      <w:r>
        <w:rPr>
          <w:rFonts w:hint="eastAsia"/>
          <w:color w:val="auto"/>
          <w:sz w:val="21"/>
          <w:szCs w:val="21"/>
          <w:highlight w:val="none"/>
        </w:rPr>
        <w:t>（1）供应商被人民法院列入失信被执行人的；</w:t>
      </w:r>
    </w:p>
    <w:p>
      <w:pPr>
        <w:pStyle w:val="3"/>
        <w:spacing w:before="10" w:line="360" w:lineRule="auto"/>
        <w:rPr>
          <w:color w:val="auto"/>
          <w:sz w:val="21"/>
          <w:szCs w:val="21"/>
          <w:highlight w:val="none"/>
        </w:rPr>
      </w:pPr>
      <w:r>
        <w:rPr>
          <w:rFonts w:hint="eastAsia"/>
          <w:color w:val="auto"/>
          <w:sz w:val="21"/>
          <w:szCs w:val="21"/>
          <w:highlight w:val="none"/>
        </w:rPr>
        <w:t>(2）供应商或其法定代表人或拟派项目经理（项目负责人）被人民检察院列入行贿犯罪档案的；</w:t>
      </w:r>
    </w:p>
    <w:p>
      <w:pPr>
        <w:pStyle w:val="3"/>
        <w:spacing w:before="10" w:line="360" w:lineRule="auto"/>
        <w:rPr>
          <w:color w:val="auto"/>
          <w:sz w:val="21"/>
          <w:szCs w:val="21"/>
          <w:highlight w:val="none"/>
        </w:rPr>
      </w:pPr>
      <w:r>
        <w:rPr>
          <w:rFonts w:hint="eastAsia"/>
          <w:color w:val="auto"/>
          <w:sz w:val="21"/>
          <w:szCs w:val="21"/>
          <w:highlight w:val="none"/>
        </w:rPr>
        <w:t>(3）供应商被工商行政管理部门列入企业经营异常名录的；</w:t>
      </w:r>
    </w:p>
    <w:p>
      <w:pPr>
        <w:pStyle w:val="3"/>
        <w:spacing w:before="10" w:line="360" w:lineRule="auto"/>
        <w:rPr>
          <w:color w:val="auto"/>
          <w:sz w:val="21"/>
          <w:szCs w:val="21"/>
          <w:highlight w:val="none"/>
        </w:rPr>
      </w:pPr>
      <w:r>
        <w:rPr>
          <w:rFonts w:hint="eastAsia"/>
          <w:color w:val="auto"/>
          <w:sz w:val="21"/>
          <w:szCs w:val="21"/>
          <w:highlight w:val="none"/>
        </w:rPr>
        <w:t>(4）供应商被税务部门列入重大税收违法案件当事人名单的；</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(5）供应商被政府采购监管部门列入政府采购严重违法失信行为记录名单的。</w:t>
      </w:r>
    </w:p>
    <w:p>
      <w:pPr>
        <w:pStyle w:val="3"/>
        <w:spacing w:before="10" w:line="360" w:lineRule="auto"/>
        <w:rPr>
          <w:color w:val="auto"/>
          <w:sz w:val="21"/>
          <w:szCs w:val="21"/>
          <w:highlight w:val="none"/>
        </w:rPr>
      </w:pPr>
      <w:r>
        <w:rPr>
          <w:rFonts w:hint="eastAsia"/>
          <w:color w:val="auto"/>
          <w:sz w:val="21"/>
          <w:szCs w:val="21"/>
          <w:highlight w:val="none"/>
        </w:rPr>
        <w:t>出现违反上述承诺情形之一的，我方还同意投标保证金不予退还，愿意公开披露我单位违反承诺的不良行为信息，愿意接受处罚并承担所有经济损失和法律责任。</w:t>
      </w:r>
    </w:p>
    <w:p>
      <w:pPr>
        <w:pStyle w:val="3"/>
        <w:spacing w:before="10" w:line="360" w:lineRule="auto"/>
        <w:rPr>
          <w:color w:val="auto"/>
          <w:sz w:val="21"/>
          <w:szCs w:val="21"/>
          <w:highlight w:val="none"/>
        </w:rPr>
      </w:pPr>
    </w:p>
    <w:p>
      <w:pPr>
        <w:pStyle w:val="3"/>
        <w:spacing w:before="10" w:line="360" w:lineRule="auto"/>
        <w:rPr>
          <w:color w:val="auto"/>
          <w:sz w:val="21"/>
          <w:szCs w:val="21"/>
          <w:highlight w:val="none"/>
        </w:rPr>
      </w:pPr>
      <w:r>
        <w:rPr>
          <w:rFonts w:hint="eastAsia"/>
          <w:color w:val="auto"/>
          <w:sz w:val="21"/>
          <w:szCs w:val="21"/>
          <w:highlight w:val="none"/>
          <w:lang w:val="en-US"/>
        </w:rPr>
        <w:t>供应商</w:t>
      </w:r>
      <w:r>
        <w:rPr>
          <w:rFonts w:hint="eastAsia"/>
          <w:color w:val="auto"/>
          <w:sz w:val="21"/>
          <w:szCs w:val="21"/>
          <w:highlight w:val="none"/>
        </w:rPr>
        <w:t>：（盖单位章）</w:t>
      </w:r>
    </w:p>
    <w:p>
      <w:pPr>
        <w:pStyle w:val="3"/>
        <w:spacing w:before="10" w:line="360" w:lineRule="auto"/>
        <w:rPr>
          <w:color w:val="auto"/>
          <w:sz w:val="21"/>
          <w:szCs w:val="21"/>
          <w:highlight w:val="none"/>
        </w:rPr>
      </w:pPr>
      <w:r>
        <w:rPr>
          <w:rFonts w:hint="eastAsia"/>
          <w:color w:val="auto"/>
          <w:sz w:val="21"/>
          <w:szCs w:val="21"/>
          <w:highlight w:val="none"/>
        </w:rPr>
        <w:t>法定代表人或其委托代理人：（签字或盖章）</w:t>
      </w:r>
    </w:p>
    <w:p>
      <w:pPr>
        <w:pStyle w:val="3"/>
        <w:spacing w:before="10" w:line="360" w:lineRule="auto"/>
        <w:rPr>
          <w:color w:val="auto"/>
          <w:sz w:val="21"/>
          <w:szCs w:val="21"/>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r>
        <w:rPr>
          <w:rFonts w:hint="eastAsia"/>
          <w:color w:val="auto"/>
          <w:sz w:val="21"/>
          <w:szCs w:val="21"/>
          <w:highlight w:val="none"/>
        </w:rPr>
        <w:t>年    月   日</w:t>
      </w:r>
    </w:p>
    <w:p>
      <w:pPr>
        <w:rPr>
          <w:color w:val="auto"/>
          <w:highlight w:val="none"/>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四</w:t>
      </w:r>
      <w:r>
        <w:rPr>
          <w:rFonts w:ascii="宋体" w:hAnsi="宋体" w:cs="宋体"/>
          <w:color w:val="auto"/>
          <w:kern w:val="0"/>
          <w:sz w:val="21"/>
          <w:szCs w:val="21"/>
          <w:highlight w:val="none"/>
          <w:lang w:val="zh-CN" w:bidi="zh-CN"/>
        </w:rPr>
        <w:t>、</w:t>
      </w:r>
      <w:r>
        <w:rPr>
          <w:rFonts w:hint="eastAsia" w:ascii="宋体" w:hAnsi="宋体" w:cs="宋体"/>
          <w:color w:val="auto"/>
          <w:kern w:val="0"/>
          <w:sz w:val="21"/>
          <w:szCs w:val="21"/>
          <w:highlight w:val="none"/>
          <w:lang w:val="zh-CN" w:bidi="zh-CN"/>
        </w:rPr>
        <w:t>法定代表人</w:t>
      </w:r>
      <w:r>
        <w:rPr>
          <w:rFonts w:ascii="宋体" w:hAnsi="宋体" w:cs="宋体"/>
          <w:color w:val="auto"/>
          <w:kern w:val="0"/>
          <w:sz w:val="21"/>
          <w:szCs w:val="21"/>
          <w:highlight w:val="none"/>
          <w:lang w:val="zh-CN" w:bidi="zh-CN"/>
        </w:rPr>
        <w:t>授权</w:t>
      </w:r>
      <w:r>
        <w:rPr>
          <w:rFonts w:hint="eastAsia" w:ascii="宋体" w:hAnsi="宋体" w:cs="宋体"/>
          <w:color w:val="auto"/>
          <w:kern w:val="0"/>
          <w:sz w:val="21"/>
          <w:szCs w:val="21"/>
          <w:highlight w:val="none"/>
          <w:lang w:val="zh-CN" w:bidi="zh-CN"/>
        </w:rPr>
        <w:t>委托</w:t>
      </w:r>
      <w:r>
        <w:rPr>
          <w:rFonts w:ascii="宋体" w:hAnsi="宋体" w:cs="宋体"/>
          <w:color w:val="auto"/>
          <w:kern w:val="0"/>
          <w:sz w:val="21"/>
          <w:szCs w:val="21"/>
          <w:highlight w:val="none"/>
          <w:lang w:val="zh-CN" w:bidi="zh-CN"/>
        </w:rPr>
        <w:t>书</w:t>
      </w:r>
    </w:p>
    <w:p>
      <w:pPr>
        <w:pStyle w:val="3"/>
        <w:spacing w:line="360" w:lineRule="auto"/>
        <w:rPr>
          <w:b/>
          <w:color w:val="auto"/>
          <w:sz w:val="21"/>
          <w:szCs w:val="21"/>
          <w:highlight w:val="none"/>
          <w:lang w:val="en-US"/>
        </w:rPr>
      </w:pPr>
    </w:p>
    <w:p>
      <w:pPr>
        <w:spacing w:line="360" w:lineRule="auto"/>
        <w:ind w:firstLine="645"/>
        <w:rPr>
          <w:rFonts w:ascii="宋体" w:hAnsi="宋体"/>
          <w:color w:val="auto"/>
          <w:highlight w:val="none"/>
        </w:rPr>
      </w:pPr>
      <w:r>
        <w:rPr>
          <w:rFonts w:hint="eastAsia" w:ascii="宋体" w:hAnsi="宋体"/>
          <w:color w:val="auto"/>
          <w:highlight w:val="none"/>
        </w:rPr>
        <w:t>本授权书声明：</w:t>
      </w:r>
      <w:r>
        <w:rPr>
          <w:rFonts w:hint="eastAsia" w:ascii="宋体" w:hAnsi="宋体"/>
          <w:color w:val="auto"/>
          <w:highlight w:val="none"/>
          <w:u w:val="single"/>
        </w:rPr>
        <w:t xml:space="preserve">           </w:t>
      </w:r>
      <w:r>
        <w:rPr>
          <w:rFonts w:hint="eastAsia" w:ascii="宋体" w:hAnsi="宋体"/>
          <w:color w:val="auto"/>
          <w:highlight w:val="none"/>
        </w:rPr>
        <w:t>公司（工厂）（纳税人识别号：</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color w:val="auto"/>
          <w:highlight w:val="none"/>
        </w:rPr>
        <w:t>（法人代表姓名、职务）代表本公司（工厂）授权本公司（工厂）</w:t>
      </w:r>
      <w:r>
        <w:rPr>
          <w:rFonts w:hint="eastAsia" w:ascii="宋体" w:hAnsi="宋体"/>
          <w:color w:val="auto"/>
          <w:highlight w:val="none"/>
          <w:u w:val="single"/>
        </w:rPr>
        <w:t xml:space="preserve">        </w:t>
      </w:r>
      <w:r>
        <w:rPr>
          <w:rFonts w:hint="eastAsia" w:ascii="宋体" w:hAnsi="宋体"/>
          <w:color w:val="auto"/>
          <w:highlight w:val="none"/>
        </w:rPr>
        <w:t>（被授权人的姓名、职务）为本公司（工厂）的合法代理人，参加</w:t>
      </w:r>
      <w:r>
        <w:rPr>
          <w:rFonts w:hint="eastAsia" w:ascii="宋体" w:hAnsi="宋体"/>
          <w:color w:val="auto"/>
          <w:highlight w:val="none"/>
          <w:u w:val="single"/>
        </w:rPr>
        <w:t xml:space="preserve">                     </w:t>
      </w:r>
      <w:r>
        <w:rPr>
          <w:rFonts w:hint="eastAsia" w:ascii="宋体" w:hAnsi="宋体"/>
          <w:color w:val="auto"/>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spacing w:line="360" w:lineRule="auto"/>
        <w:ind w:firstLine="645"/>
        <w:rPr>
          <w:rFonts w:ascii="宋体" w:hAnsi="宋体"/>
          <w:color w:val="auto"/>
          <w:highlight w:val="none"/>
        </w:rPr>
      </w:pPr>
      <w:r>
        <w:rPr>
          <w:rFonts w:hint="eastAsia" w:ascii="宋体" w:hAnsi="宋体"/>
          <w:color w:val="auto"/>
          <w:highlight w:val="none"/>
        </w:rPr>
        <w:t>本授权书自出具之日起生效。</w:t>
      </w:r>
    </w:p>
    <w:p>
      <w:pPr>
        <w:spacing w:line="360" w:lineRule="auto"/>
        <w:ind w:firstLine="645"/>
        <w:rPr>
          <w:rFonts w:ascii="宋体" w:hAnsi="宋体"/>
          <w:color w:val="auto"/>
          <w:highlight w:val="none"/>
        </w:rPr>
      </w:pPr>
      <w:r>
        <w:rPr>
          <w:rFonts w:hint="eastAsia" w:ascii="宋体" w:hAnsi="宋体"/>
          <w:color w:val="auto"/>
          <w:highlight w:val="none"/>
        </w:rPr>
        <w:t>特此声明。</w:t>
      </w:r>
    </w:p>
    <w:p>
      <w:pPr>
        <w:spacing w:line="360" w:lineRule="auto"/>
        <w:ind w:firstLine="645"/>
        <w:rPr>
          <w:rFonts w:ascii="宋体" w:hAnsi="宋体"/>
          <w:color w:val="auto"/>
          <w:highlight w:val="none"/>
        </w:rPr>
      </w:pPr>
    </w:p>
    <w:p>
      <w:pPr>
        <w:spacing w:line="360" w:lineRule="auto"/>
        <w:ind w:firstLine="645"/>
        <w:rPr>
          <w:rFonts w:ascii="宋体" w:hAnsi="宋体"/>
          <w:color w:val="auto"/>
          <w:highlight w:val="none"/>
        </w:rPr>
      </w:pPr>
      <w:r>
        <w:rPr>
          <w:rFonts w:hint="eastAsia" w:ascii="宋体" w:hAnsi="宋体"/>
          <w:color w:val="auto"/>
          <w:highlight w:val="none"/>
        </w:rPr>
        <w:t>法定代表人联系方式：</w:t>
      </w:r>
      <w:r>
        <w:rPr>
          <w:rFonts w:hint="eastAsia" w:ascii="宋体" w:hAnsi="宋体"/>
          <w:color w:val="auto"/>
          <w:highlight w:val="none"/>
          <w:u w:val="single"/>
        </w:rPr>
        <w:t xml:space="preserve">（手机号码）       </w:t>
      </w:r>
    </w:p>
    <w:p>
      <w:pPr>
        <w:spacing w:line="360" w:lineRule="auto"/>
        <w:ind w:firstLine="645"/>
        <w:rPr>
          <w:rFonts w:ascii="宋体" w:hAnsi="宋体"/>
          <w:color w:val="auto"/>
          <w:highlight w:val="none"/>
        </w:rPr>
      </w:pPr>
      <w:r>
        <w:rPr>
          <w:rFonts w:hint="eastAsia" w:ascii="宋体" w:hAnsi="宋体"/>
          <w:color w:val="auto"/>
          <w:highlight w:val="none"/>
        </w:rPr>
        <w:t>授权委托人联系方式：</w:t>
      </w:r>
      <w:r>
        <w:rPr>
          <w:rFonts w:hint="eastAsia" w:ascii="宋体" w:hAnsi="宋体"/>
          <w:color w:val="auto"/>
          <w:highlight w:val="none"/>
          <w:u w:val="single"/>
        </w:rPr>
        <w:t xml:space="preserve">（手机号码）       </w:t>
      </w:r>
    </w:p>
    <w:p>
      <w:pPr>
        <w:spacing w:line="360" w:lineRule="auto"/>
        <w:ind w:firstLine="645"/>
        <w:rPr>
          <w:rFonts w:ascii="宋体" w:hAnsi="宋体"/>
          <w:color w:val="auto"/>
          <w:highlight w:val="none"/>
        </w:rPr>
      </w:pPr>
    </w:p>
    <w:p>
      <w:pPr>
        <w:spacing w:line="360" w:lineRule="auto"/>
        <w:ind w:firstLine="645"/>
        <w:rPr>
          <w:rFonts w:ascii="宋体" w:hAnsi="宋体"/>
          <w:color w:val="auto"/>
          <w:highlight w:val="none"/>
          <w:u w:val="single"/>
        </w:rPr>
      </w:pPr>
      <w:r>
        <w:rPr>
          <w:rFonts w:hint="eastAsia" w:ascii="宋体" w:hAnsi="宋体"/>
          <w:color w:val="auto"/>
          <w:highlight w:val="none"/>
        </w:rPr>
        <w:t>法人代表签字或盖章：</w:t>
      </w:r>
      <w:r>
        <w:rPr>
          <w:rFonts w:hint="eastAsia" w:ascii="宋体" w:hAnsi="宋体"/>
          <w:color w:val="auto"/>
          <w:highlight w:val="none"/>
          <w:u w:val="single"/>
        </w:rPr>
        <w:t xml:space="preserve">                    </w:t>
      </w:r>
    </w:p>
    <w:p>
      <w:pPr>
        <w:spacing w:line="360" w:lineRule="auto"/>
        <w:ind w:firstLine="645"/>
        <w:rPr>
          <w:rFonts w:ascii="宋体" w:hAnsi="宋体"/>
          <w:color w:val="auto"/>
          <w:highlight w:val="none"/>
        </w:rPr>
      </w:pPr>
      <w:r>
        <w:rPr>
          <w:rFonts w:hint="eastAsia" w:ascii="宋体" w:hAnsi="宋体"/>
          <w:color w:val="auto"/>
          <w:highlight w:val="none"/>
        </w:rPr>
        <w:t>代理人（被授权人）签字或盖章：</w:t>
      </w:r>
      <w:r>
        <w:rPr>
          <w:rFonts w:hint="eastAsia" w:ascii="宋体" w:hAnsi="宋体"/>
          <w:color w:val="auto"/>
          <w:highlight w:val="none"/>
          <w:u w:val="single"/>
        </w:rPr>
        <w:t xml:space="preserve">              </w:t>
      </w:r>
    </w:p>
    <w:p>
      <w:pPr>
        <w:spacing w:line="360" w:lineRule="auto"/>
        <w:ind w:firstLine="645"/>
        <w:rPr>
          <w:rFonts w:ascii="宋体" w:hAnsi="宋体"/>
          <w:color w:val="auto"/>
          <w:highlight w:val="none"/>
        </w:rPr>
      </w:pPr>
      <w:r>
        <w:rPr>
          <w:rFonts w:hint="eastAsia" w:ascii="宋体" w:hAnsi="宋体"/>
          <w:color w:val="auto"/>
          <w:highlight w:val="none"/>
        </w:rPr>
        <w:t>供应商盖章：</w:t>
      </w:r>
      <w:r>
        <w:rPr>
          <w:rFonts w:hint="eastAsia" w:ascii="宋体" w:hAnsi="宋体"/>
          <w:color w:val="auto"/>
          <w:highlight w:val="none"/>
          <w:u w:val="single"/>
        </w:rPr>
        <w:t xml:space="preserve">                       </w:t>
      </w:r>
    </w:p>
    <w:p>
      <w:pPr>
        <w:spacing w:line="360" w:lineRule="auto"/>
        <w:ind w:firstLine="645"/>
        <w:rPr>
          <w:rFonts w:ascii="宋体" w:hAnsi="宋体"/>
          <w:color w:val="auto"/>
          <w:highlight w:val="none"/>
        </w:rPr>
      </w:pPr>
      <w:r>
        <w:rPr>
          <w:rFonts w:hint="eastAsia" w:ascii="宋体" w:hAnsi="宋体"/>
          <w:color w:val="auto"/>
          <w:highlight w:val="none"/>
        </w:rPr>
        <w:t>授权委托日期：</w:t>
      </w:r>
      <w:r>
        <w:rPr>
          <w:rFonts w:hint="eastAsia" w:ascii="宋体" w:hAnsi="宋体"/>
          <w:color w:val="auto"/>
          <w:highlight w:val="none"/>
          <w:u w:val="single"/>
        </w:rPr>
        <w:t xml:space="preserve">                 </w:t>
      </w:r>
    </w:p>
    <w:p>
      <w:pPr>
        <w:spacing w:line="360" w:lineRule="auto"/>
        <w:rPr>
          <w:rFonts w:ascii="宋体" w:hAnsi="宋体" w:cs="Arial"/>
          <w:b/>
          <w:color w:val="auto"/>
          <w:highlight w:val="none"/>
        </w:rPr>
      </w:pPr>
    </w:p>
    <w:p>
      <w:pPr>
        <w:pStyle w:val="3"/>
        <w:spacing w:before="66" w:line="360" w:lineRule="auto"/>
        <w:rPr>
          <w:color w:val="auto"/>
          <w:sz w:val="21"/>
          <w:szCs w:val="21"/>
          <w:highlight w:val="none"/>
        </w:rPr>
      </w:pPr>
      <w:r>
        <w:rPr>
          <w:color w:val="auto"/>
          <w:sz w:val="21"/>
          <w:szCs w:val="21"/>
          <w:highlight w:val="none"/>
        </w:rPr>
        <w:t>注：</w:t>
      </w:r>
    </w:p>
    <w:p>
      <w:pPr>
        <w:pStyle w:val="26"/>
        <w:numPr>
          <w:ilvl w:val="0"/>
          <w:numId w:val="13"/>
        </w:numPr>
        <w:tabs>
          <w:tab w:val="left" w:pos="896"/>
        </w:tabs>
        <w:autoSpaceDE w:val="0"/>
        <w:autoSpaceDN w:val="0"/>
        <w:spacing w:before="161" w:line="360" w:lineRule="auto"/>
        <w:ind w:hanging="242" w:firstLineChars="0"/>
        <w:rPr>
          <w:rFonts w:ascii="宋体" w:hAnsi="宋体"/>
          <w:color w:val="auto"/>
          <w:szCs w:val="21"/>
          <w:highlight w:val="none"/>
        </w:rPr>
      </w:pPr>
      <w:r>
        <w:rPr>
          <w:rFonts w:ascii="宋体" w:hAnsi="宋体"/>
          <w:color w:val="auto"/>
          <w:szCs w:val="21"/>
          <w:highlight w:val="none"/>
        </w:rPr>
        <w:t>本项目只允许有唯一的</w:t>
      </w:r>
      <w:r>
        <w:rPr>
          <w:rFonts w:hint="eastAsia" w:ascii="宋体" w:hAnsi="宋体"/>
          <w:color w:val="auto"/>
          <w:szCs w:val="21"/>
          <w:highlight w:val="none"/>
        </w:rPr>
        <w:t>供应商</w:t>
      </w:r>
      <w:r>
        <w:rPr>
          <w:rFonts w:ascii="宋体" w:hAnsi="宋体"/>
          <w:color w:val="auto"/>
          <w:szCs w:val="21"/>
          <w:highlight w:val="none"/>
        </w:rPr>
        <w:t>授权代表，提供身份证明扫描件；</w:t>
      </w:r>
    </w:p>
    <w:p>
      <w:pPr>
        <w:pStyle w:val="26"/>
        <w:numPr>
          <w:ilvl w:val="0"/>
          <w:numId w:val="13"/>
        </w:numPr>
        <w:tabs>
          <w:tab w:val="left" w:pos="896"/>
        </w:tabs>
        <w:autoSpaceDE w:val="0"/>
        <w:autoSpaceDN w:val="0"/>
        <w:spacing w:before="161" w:line="360" w:lineRule="auto"/>
        <w:ind w:hanging="242" w:firstLineChars="0"/>
        <w:rPr>
          <w:rFonts w:ascii="宋体" w:hAnsi="宋体"/>
          <w:color w:val="auto"/>
          <w:szCs w:val="21"/>
          <w:highlight w:val="none"/>
        </w:rPr>
      </w:pPr>
      <w:r>
        <w:rPr>
          <w:rFonts w:ascii="宋体" w:hAnsi="宋体"/>
          <w:color w:val="auto"/>
          <w:szCs w:val="21"/>
          <w:highlight w:val="none"/>
        </w:rPr>
        <w:t>法定代表人参加</w:t>
      </w:r>
      <w:r>
        <w:rPr>
          <w:rFonts w:hint="eastAsia" w:ascii="宋体" w:hAnsi="宋体"/>
          <w:color w:val="auto"/>
          <w:szCs w:val="21"/>
          <w:highlight w:val="none"/>
        </w:rPr>
        <w:t>磋商</w:t>
      </w:r>
      <w:r>
        <w:rPr>
          <w:rFonts w:ascii="宋体" w:hAnsi="宋体"/>
          <w:color w:val="auto"/>
          <w:szCs w:val="21"/>
          <w:highlight w:val="none"/>
        </w:rPr>
        <w:t>的无需提供授权书，提供身份证明扫描件。</w:t>
      </w:r>
    </w:p>
    <w:p>
      <w:pPr>
        <w:spacing w:line="360" w:lineRule="auto"/>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ind w:left="632"/>
        <w:rPr>
          <w:rFonts w:ascii="Calibri" w:hAnsi="Calibri"/>
          <w:b/>
          <w:color w:val="auto"/>
          <w:highlight w:val="none"/>
        </w:rPr>
      </w:pPr>
    </w:p>
    <w:p>
      <w:pPr>
        <w:jc w:val="center"/>
        <w:rPr>
          <w:rFonts w:ascii="Calibri" w:hAnsi="Calibri"/>
          <w:b/>
          <w:color w:val="auto"/>
          <w:highlight w:val="none"/>
        </w:rPr>
      </w:pPr>
      <w:r>
        <w:rPr>
          <w:rFonts w:hint="eastAsia" w:ascii="Calibri" w:hAnsi="Calibri"/>
          <w:b/>
          <w:color w:val="auto"/>
          <w:highlight w:val="none"/>
        </w:rPr>
        <w:t>五、</w:t>
      </w:r>
      <w:r>
        <w:rPr>
          <w:rFonts w:ascii="Calibri" w:hAnsi="Calibri"/>
          <w:b/>
          <w:color w:val="auto"/>
          <w:highlight w:val="none"/>
        </w:rPr>
        <w:t>技术响应表</w:t>
      </w:r>
    </w:p>
    <w:p>
      <w:pPr>
        <w:pStyle w:val="3"/>
        <w:spacing w:before="4" w:line="360" w:lineRule="auto"/>
        <w:rPr>
          <w:b/>
          <w:color w:val="auto"/>
          <w:sz w:val="21"/>
          <w:szCs w:val="21"/>
          <w:highlight w:val="none"/>
        </w:rPr>
      </w:pPr>
    </w:p>
    <w:tbl>
      <w:tblPr>
        <w:tblStyle w:val="19"/>
        <w:tblW w:w="8527"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561"/>
        <w:gridCol w:w="2864"/>
        <w:gridCol w:w="2483"/>
        <w:gridCol w:w="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noWrap w:val="0"/>
            <w:vAlign w:val="top"/>
          </w:tcPr>
          <w:p>
            <w:pPr>
              <w:pStyle w:val="25"/>
              <w:spacing w:before="156" w:line="360" w:lineRule="auto"/>
              <w:ind w:left="120" w:right="109"/>
              <w:jc w:val="center"/>
              <w:rPr>
                <w:b/>
                <w:color w:val="auto"/>
                <w:sz w:val="21"/>
                <w:szCs w:val="21"/>
                <w:highlight w:val="none"/>
                <w:lang w:eastAsia="en-US"/>
              </w:rPr>
            </w:pPr>
            <w:r>
              <w:rPr>
                <w:b/>
                <w:color w:val="auto"/>
                <w:sz w:val="21"/>
                <w:szCs w:val="21"/>
                <w:highlight w:val="none"/>
                <w:lang w:eastAsia="en-US"/>
              </w:rPr>
              <w:t>序号</w:t>
            </w:r>
          </w:p>
        </w:tc>
        <w:tc>
          <w:tcPr>
            <w:tcW w:w="1561" w:type="dxa"/>
            <w:noWrap w:val="0"/>
            <w:vAlign w:val="top"/>
          </w:tcPr>
          <w:p>
            <w:pPr>
              <w:pStyle w:val="25"/>
              <w:spacing w:before="156" w:line="360" w:lineRule="auto"/>
              <w:ind w:left="297"/>
              <w:rPr>
                <w:b/>
                <w:color w:val="auto"/>
                <w:sz w:val="21"/>
                <w:szCs w:val="21"/>
                <w:highlight w:val="none"/>
                <w:lang w:eastAsia="en-US"/>
              </w:rPr>
            </w:pPr>
            <w:r>
              <w:rPr>
                <w:b/>
                <w:color w:val="auto"/>
                <w:sz w:val="21"/>
                <w:szCs w:val="21"/>
                <w:highlight w:val="none"/>
                <w:lang w:eastAsia="en-US"/>
              </w:rPr>
              <w:t>货物名称</w:t>
            </w:r>
          </w:p>
        </w:tc>
        <w:tc>
          <w:tcPr>
            <w:tcW w:w="2864" w:type="dxa"/>
            <w:noWrap w:val="0"/>
            <w:vAlign w:val="top"/>
          </w:tcPr>
          <w:p>
            <w:pPr>
              <w:pStyle w:val="25"/>
              <w:spacing w:line="360" w:lineRule="auto"/>
              <w:ind w:left="204" w:right="200"/>
              <w:jc w:val="center"/>
              <w:rPr>
                <w:b/>
                <w:color w:val="auto"/>
                <w:sz w:val="21"/>
                <w:szCs w:val="21"/>
                <w:highlight w:val="none"/>
              </w:rPr>
            </w:pPr>
            <w:r>
              <w:rPr>
                <w:b/>
                <w:color w:val="auto"/>
                <w:sz w:val="21"/>
                <w:szCs w:val="21"/>
                <w:highlight w:val="none"/>
              </w:rPr>
              <w:t>磋商文件规定的技术参</w:t>
            </w:r>
          </w:p>
          <w:p>
            <w:pPr>
              <w:pStyle w:val="25"/>
              <w:spacing w:before="4" w:line="360" w:lineRule="auto"/>
              <w:ind w:left="204" w:right="197"/>
              <w:jc w:val="center"/>
              <w:rPr>
                <w:b/>
                <w:color w:val="auto"/>
                <w:sz w:val="21"/>
                <w:szCs w:val="21"/>
                <w:highlight w:val="none"/>
              </w:rPr>
            </w:pPr>
            <w:r>
              <w:rPr>
                <w:b/>
                <w:color w:val="auto"/>
                <w:sz w:val="21"/>
                <w:szCs w:val="21"/>
                <w:highlight w:val="none"/>
              </w:rPr>
              <w:t>数要求</w:t>
            </w:r>
          </w:p>
        </w:tc>
        <w:tc>
          <w:tcPr>
            <w:tcW w:w="2483" w:type="dxa"/>
            <w:noWrap w:val="0"/>
            <w:vAlign w:val="top"/>
          </w:tcPr>
          <w:p>
            <w:pPr>
              <w:pStyle w:val="25"/>
              <w:spacing w:line="360" w:lineRule="auto"/>
              <w:ind w:left="134" w:right="129"/>
              <w:jc w:val="center"/>
              <w:rPr>
                <w:b/>
                <w:color w:val="auto"/>
                <w:sz w:val="21"/>
                <w:szCs w:val="21"/>
                <w:highlight w:val="none"/>
              </w:rPr>
            </w:pPr>
            <w:r>
              <w:rPr>
                <w:b/>
                <w:color w:val="auto"/>
                <w:sz w:val="21"/>
                <w:szCs w:val="21"/>
                <w:highlight w:val="none"/>
              </w:rPr>
              <w:t>所投产品的品牌、型</w:t>
            </w:r>
          </w:p>
          <w:p>
            <w:pPr>
              <w:pStyle w:val="25"/>
              <w:spacing w:before="4" w:line="360" w:lineRule="auto"/>
              <w:ind w:left="134" w:right="129"/>
              <w:jc w:val="center"/>
              <w:rPr>
                <w:b/>
                <w:color w:val="auto"/>
                <w:sz w:val="21"/>
                <w:szCs w:val="21"/>
                <w:highlight w:val="none"/>
              </w:rPr>
            </w:pPr>
            <w:r>
              <w:rPr>
                <w:b/>
                <w:color w:val="auto"/>
                <w:sz w:val="21"/>
                <w:szCs w:val="21"/>
                <w:highlight w:val="none"/>
              </w:rPr>
              <w:t>号及技术参数</w:t>
            </w:r>
          </w:p>
        </w:tc>
        <w:tc>
          <w:tcPr>
            <w:tcW w:w="858" w:type="dxa"/>
            <w:noWrap w:val="0"/>
            <w:vAlign w:val="top"/>
          </w:tcPr>
          <w:p>
            <w:pPr>
              <w:pStyle w:val="25"/>
              <w:spacing w:line="360" w:lineRule="auto"/>
              <w:ind w:left="185"/>
              <w:rPr>
                <w:b/>
                <w:color w:val="auto"/>
                <w:sz w:val="21"/>
                <w:szCs w:val="21"/>
                <w:highlight w:val="none"/>
                <w:lang w:eastAsia="en-US"/>
              </w:rPr>
            </w:pPr>
            <w:r>
              <w:rPr>
                <w:b/>
                <w:color w:val="auto"/>
                <w:sz w:val="21"/>
                <w:szCs w:val="21"/>
                <w:highlight w:val="none"/>
                <w:lang w:eastAsia="en-US"/>
              </w:rPr>
              <w:t>偏离</w:t>
            </w:r>
          </w:p>
          <w:p>
            <w:pPr>
              <w:pStyle w:val="25"/>
              <w:spacing w:before="4" w:line="360" w:lineRule="auto"/>
              <w:ind w:left="185"/>
              <w:rPr>
                <w:b/>
                <w:color w:val="auto"/>
                <w:sz w:val="21"/>
                <w:szCs w:val="21"/>
                <w:highlight w:val="none"/>
                <w:lang w:eastAsia="en-US"/>
              </w:rPr>
            </w:pPr>
            <w:r>
              <w:rPr>
                <w:b/>
                <w:color w:val="auto"/>
                <w:sz w:val="21"/>
                <w:szCs w:val="21"/>
                <w:highlight w:val="none"/>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1</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2</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3</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4</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1" w:type="dxa"/>
            <w:noWrap w:val="0"/>
            <w:vAlign w:val="top"/>
          </w:tcPr>
          <w:p>
            <w:pPr>
              <w:pStyle w:val="25"/>
              <w:spacing w:before="71" w:line="360" w:lineRule="auto"/>
              <w:ind w:left="7"/>
              <w:jc w:val="center"/>
              <w:rPr>
                <w:color w:val="auto"/>
                <w:sz w:val="21"/>
                <w:szCs w:val="21"/>
                <w:highlight w:val="none"/>
                <w:lang w:eastAsia="en-US"/>
              </w:rPr>
            </w:pPr>
            <w:r>
              <w:rPr>
                <w:color w:val="auto"/>
                <w:w w:val="200"/>
                <w:sz w:val="21"/>
                <w:szCs w:val="21"/>
                <w:highlight w:val="none"/>
                <w:lang w:eastAsia="en-US"/>
              </w:rPr>
              <w:t>„</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bl>
    <w:p>
      <w:pPr>
        <w:ind w:left="632"/>
        <w:rPr>
          <w:rFonts w:ascii="Calibri" w:hAnsi="Calibri"/>
          <w:b/>
          <w:color w:val="auto"/>
          <w:highlight w:val="none"/>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六</w:t>
      </w:r>
      <w:r>
        <w:rPr>
          <w:rFonts w:ascii="宋体" w:hAnsi="宋体" w:cs="宋体"/>
          <w:color w:val="auto"/>
          <w:kern w:val="0"/>
          <w:sz w:val="21"/>
          <w:szCs w:val="21"/>
          <w:highlight w:val="none"/>
          <w:lang w:val="zh-CN" w:bidi="zh-CN"/>
        </w:rPr>
        <w:t>、供货安装（调试）方案</w:t>
      </w:r>
    </w:p>
    <w:p>
      <w:pPr>
        <w:autoSpaceDE w:val="0"/>
        <w:autoSpaceDN w:val="0"/>
        <w:ind w:firstLine="3534" w:firstLineChars="1600"/>
        <w:jc w:val="left"/>
        <w:rPr>
          <w:rFonts w:ascii="宋体" w:hAnsi="宋体" w:cs="宋体"/>
          <w:b/>
          <w:color w:val="auto"/>
          <w:kern w:val="0"/>
          <w:sz w:val="22"/>
          <w:szCs w:val="22"/>
          <w:highlight w:val="none"/>
          <w:lang w:val="zh-CN" w:bidi="zh-CN"/>
        </w:rPr>
      </w:pPr>
      <w:r>
        <w:rPr>
          <w:rFonts w:ascii="宋体" w:hAnsi="宋体" w:cs="宋体"/>
          <w:b/>
          <w:color w:val="auto"/>
          <w:kern w:val="0"/>
          <w:sz w:val="22"/>
          <w:szCs w:val="22"/>
          <w:highlight w:val="none"/>
          <w:lang w:val="zh-CN" w:bidi="zh-CN"/>
        </w:rPr>
        <w:t>(供应商可自行制作格式)</w:t>
      </w:r>
    </w:p>
    <w:p>
      <w:pPr>
        <w:spacing w:line="360" w:lineRule="auto"/>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七</w:t>
      </w:r>
      <w:r>
        <w:rPr>
          <w:rFonts w:ascii="宋体" w:hAnsi="宋体" w:cs="宋体"/>
          <w:color w:val="auto"/>
          <w:kern w:val="0"/>
          <w:sz w:val="21"/>
          <w:szCs w:val="21"/>
          <w:highlight w:val="none"/>
          <w:lang w:val="zh-CN" w:bidi="zh-CN"/>
        </w:rPr>
        <w:t>、售后服务与维保方案</w:t>
      </w:r>
    </w:p>
    <w:p>
      <w:pPr>
        <w:autoSpaceDE w:val="0"/>
        <w:autoSpaceDN w:val="0"/>
        <w:ind w:firstLine="3534" w:firstLineChars="1600"/>
        <w:jc w:val="left"/>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r>
        <w:rPr>
          <w:rFonts w:ascii="宋体" w:hAnsi="宋体" w:cs="宋体"/>
          <w:b/>
          <w:color w:val="auto"/>
          <w:kern w:val="0"/>
          <w:sz w:val="22"/>
          <w:szCs w:val="22"/>
          <w:highlight w:val="none"/>
          <w:lang w:val="zh-CN" w:bidi="zh-CN"/>
        </w:rPr>
        <w:t>(供应商可自行制作格式)</w:t>
      </w:r>
    </w:p>
    <w:p>
      <w:pPr>
        <w:pStyle w:val="6"/>
        <w:keepNext w:val="0"/>
        <w:keepLines w:val="0"/>
        <w:pageBreakBefore w:val="0"/>
        <w:widowControl w:val="0"/>
        <w:kinsoku/>
        <w:wordWrap/>
        <w:overflowPunct/>
        <w:topLinePunct w:val="0"/>
        <w:autoSpaceDE w:val="0"/>
        <w:autoSpaceDN w:val="0"/>
        <w:bidi w:val="0"/>
        <w:adjustRightInd/>
        <w:snapToGrid/>
        <w:spacing w:before="104" w:after="0" w:line="360" w:lineRule="auto"/>
        <w:ind w:right="0"/>
        <w:jc w:val="center"/>
        <w:textAlignment w:val="auto"/>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八</w:t>
      </w:r>
      <w:r>
        <w:rPr>
          <w:rFonts w:ascii="宋体" w:hAnsi="宋体" w:cs="宋体"/>
          <w:color w:val="auto"/>
          <w:kern w:val="0"/>
          <w:sz w:val="21"/>
          <w:szCs w:val="21"/>
          <w:highlight w:val="none"/>
          <w:lang w:val="zh-CN" w:bidi="zh-CN"/>
        </w:rPr>
        <w:t>、其他相关证明材料</w:t>
      </w:r>
    </w:p>
    <w:p>
      <w:pPr>
        <w:pStyle w:val="3"/>
        <w:spacing w:before="160" w:line="360" w:lineRule="auto"/>
        <w:ind w:right="561"/>
        <w:rPr>
          <w:color w:val="auto"/>
          <w:highlight w:val="none"/>
        </w:rPr>
      </w:pPr>
      <w:r>
        <w:rPr>
          <w:color w:val="auto"/>
          <w:sz w:val="21"/>
          <w:szCs w:val="21"/>
          <w:highlight w:val="none"/>
        </w:rPr>
        <w:t>提供符合磋商采购需求及评审方法和标准规定的相关证明文件。</w:t>
      </w:r>
      <w:r>
        <w:rPr>
          <w:rFonts w:hint="eastAsia"/>
          <w:color w:val="auto"/>
          <w:sz w:val="21"/>
          <w:szCs w:val="21"/>
          <w:highlight w:val="none"/>
        </w:rPr>
        <w:t>（</w:t>
      </w:r>
      <w:r>
        <w:rPr>
          <w:rFonts w:hint="eastAsia"/>
          <w:color w:val="auto"/>
          <w:sz w:val="21"/>
          <w:szCs w:val="21"/>
          <w:highlight w:val="none"/>
          <w:lang w:val="en-US"/>
        </w:rPr>
        <w:t>格式自拟</w:t>
      </w:r>
      <w:r>
        <w:rPr>
          <w:rFonts w:hint="eastAsia"/>
          <w:color w:val="auto"/>
          <w:sz w:val="21"/>
          <w:szCs w:val="21"/>
          <w:highlight w:val="none"/>
        </w:rPr>
        <w:t>）</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宋黑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93AA"/>
    <w:multiLevelType w:val="singleLevel"/>
    <w:tmpl w:val="A30593AA"/>
    <w:lvl w:ilvl="0" w:tentative="0">
      <w:start w:val="3"/>
      <w:numFmt w:val="chineseCounting"/>
      <w:suff w:val="space"/>
      <w:lvlText w:val="第%1章"/>
      <w:lvlJc w:val="left"/>
      <w:rPr>
        <w:rFonts w:hint="eastAsia"/>
      </w:rPr>
    </w:lvl>
  </w:abstractNum>
  <w:abstractNum w:abstractNumId="1">
    <w:nsid w:val="A6384985"/>
    <w:multiLevelType w:val="singleLevel"/>
    <w:tmpl w:val="A6384985"/>
    <w:lvl w:ilvl="0" w:tentative="0">
      <w:start w:val="1"/>
      <w:numFmt w:val="decimal"/>
      <w:suff w:val="nothing"/>
      <w:lvlText w:val="%1、"/>
      <w:lvlJc w:val="left"/>
    </w:lvl>
  </w:abstractNum>
  <w:abstractNum w:abstractNumId="2">
    <w:nsid w:val="A89E1D2D"/>
    <w:multiLevelType w:val="singleLevel"/>
    <w:tmpl w:val="A89E1D2D"/>
    <w:lvl w:ilvl="0" w:tentative="0">
      <w:start w:val="6"/>
      <w:numFmt w:val="decimal"/>
      <w:suff w:val="space"/>
      <w:lvlText w:val="%1."/>
      <w:lvlJc w:val="left"/>
    </w:lvl>
  </w:abstractNum>
  <w:abstractNum w:abstractNumId="3">
    <w:nsid w:val="C24F89B3"/>
    <w:multiLevelType w:val="singleLevel"/>
    <w:tmpl w:val="C24F89B3"/>
    <w:lvl w:ilvl="0" w:tentative="0">
      <w:start w:val="2"/>
      <w:numFmt w:val="chineseCounting"/>
      <w:suff w:val="nothing"/>
      <w:lvlText w:val="%1、"/>
      <w:lvlJc w:val="left"/>
      <w:rPr>
        <w:rFonts w:hint="eastAsia"/>
      </w:rPr>
    </w:lvl>
  </w:abstractNum>
  <w:abstractNum w:abstractNumId="4">
    <w:nsid w:val="E1713963"/>
    <w:multiLevelType w:val="singleLevel"/>
    <w:tmpl w:val="E1713963"/>
    <w:lvl w:ilvl="0" w:tentative="0">
      <w:start w:val="1"/>
      <w:numFmt w:val="decimal"/>
      <w:lvlText w:val="%1."/>
      <w:lvlJc w:val="left"/>
      <w:pPr>
        <w:tabs>
          <w:tab w:val="left" w:pos="312"/>
        </w:tabs>
      </w:pPr>
    </w:lvl>
  </w:abstractNum>
  <w:abstractNum w:abstractNumId="5">
    <w:nsid w:val="E80A697C"/>
    <w:multiLevelType w:val="singleLevel"/>
    <w:tmpl w:val="E80A697C"/>
    <w:lvl w:ilvl="0" w:tentative="0">
      <w:start w:val="6"/>
      <w:numFmt w:val="chineseCounting"/>
      <w:lvlText w:val="第%1章"/>
      <w:lvlJc w:val="left"/>
      <w:rPr>
        <w:rFonts w:hint="eastAsia"/>
      </w:rPr>
    </w:lvl>
  </w:abstractNum>
  <w:abstractNum w:abstractNumId="6">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7">
    <w:nsid w:val="1F441BF7"/>
    <w:multiLevelType w:val="multilevel"/>
    <w:tmpl w:val="1F441BF7"/>
    <w:lvl w:ilvl="0" w:tentative="0">
      <w:start w:val="1"/>
      <w:numFmt w:val="decimal"/>
      <w:lvlText w:val="%1."/>
      <w:lvlJc w:val="left"/>
      <w:pPr>
        <w:ind w:left="560" w:hanging="241"/>
      </w:pPr>
      <w:rPr>
        <w:rFonts w:hint="eastAsia" w:ascii="宋体" w:hAnsi="宋体" w:eastAsia="宋体" w:cs="宋体"/>
        <w:spacing w:val="0"/>
        <w:w w:val="100"/>
        <w:sz w:val="22"/>
        <w:szCs w:val="22"/>
        <w:lang w:val="zh-CN" w:eastAsia="zh-CN" w:bidi="zh-CN"/>
      </w:rPr>
    </w:lvl>
    <w:lvl w:ilvl="1" w:tentative="0">
      <w:start w:val="0"/>
      <w:numFmt w:val="bullet"/>
      <w:lvlText w:val="•"/>
      <w:lvlJc w:val="left"/>
      <w:pPr>
        <w:ind w:left="1446" w:hanging="241"/>
      </w:pPr>
      <w:rPr>
        <w:rFonts w:hint="default"/>
        <w:lang w:val="zh-CN" w:eastAsia="zh-CN" w:bidi="zh-CN"/>
      </w:rPr>
    </w:lvl>
    <w:lvl w:ilvl="2" w:tentative="0">
      <w:start w:val="0"/>
      <w:numFmt w:val="bullet"/>
      <w:lvlText w:val="•"/>
      <w:lvlJc w:val="left"/>
      <w:pPr>
        <w:ind w:left="2333" w:hanging="241"/>
      </w:pPr>
      <w:rPr>
        <w:rFonts w:hint="default"/>
        <w:lang w:val="zh-CN" w:eastAsia="zh-CN" w:bidi="zh-CN"/>
      </w:rPr>
    </w:lvl>
    <w:lvl w:ilvl="3" w:tentative="0">
      <w:start w:val="0"/>
      <w:numFmt w:val="bullet"/>
      <w:lvlText w:val="•"/>
      <w:lvlJc w:val="left"/>
      <w:pPr>
        <w:ind w:left="3219" w:hanging="241"/>
      </w:pPr>
      <w:rPr>
        <w:rFonts w:hint="default"/>
        <w:lang w:val="zh-CN" w:eastAsia="zh-CN" w:bidi="zh-CN"/>
      </w:rPr>
    </w:lvl>
    <w:lvl w:ilvl="4" w:tentative="0">
      <w:start w:val="0"/>
      <w:numFmt w:val="bullet"/>
      <w:lvlText w:val="•"/>
      <w:lvlJc w:val="left"/>
      <w:pPr>
        <w:ind w:left="4106" w:hanging="241"/>
      </w:pPr>
      <w:rPr>
        <w:rFonts w:hint="default"/>
        <w:lang w:val="zh-CN" w:eastAsia="zh-CN" w:bidi="zh-CN"/>
      </w:rPr>
    </w:lvl>
    <w:lvl w:ilvl="5" w:tentative="0">
      <w:start w:val="0"/>
      <w:numFmt w:val="bullet"/>
      <w:lvlText w:val="•"/>
      <w:lvlJc w:val="left"/>
      <w:pPr>
        <w:ind w:left="499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66" w:hanging="241"/>
      </w:pPr>
      <w:rPr>
        <w:rFonts w:hint="default"/>
        <w:lang w:val="zh-CN" w:eastAsia="zh-CN" w:bidi="zh-CN"/>
      </w:rPr>
    </w:lvl>
    <w:lvl w:ilvl="8" w:tentative="0">
      <w:start w:val="0"/>
      <w:numFmt w:val="bullet"/>
      <w:lvlText w:val="•"/>
      <w:lvlJc w:val="left"/>
      <w:pPr>
        <w:ind w:left="7653" w:hanging="241"/>
      </w:pPr>
      <w:rPr>
        <w:rFonts w:hint="default"/>
        <w:lang w:val="zh-CN" w:eastAsia="zh-CN" w:bidi="zh-CN"/>
      </w:rPr>
    </w:lvl>
  </w:abstractNum>
  <w:abstractNum w:abstractNumId="8">
    <w:nsid w:val="32D5632F"/>
    <w:multiLevelType w:val="multilevel"/>
    <w:tmpl w:val="32D5632F"/>
    <w:lvl w:ilvl="0" w:tentative="0">
      <w:start w:val="1"/>
      <w:numFmt w:val="decimal"/>
      <w:lvlText w:val="%1"/>
      <w:lvlJc w:val="left"/>
      <w:pPr>
        <w:ind w:left="1045" w:hanging="485"/>
      </w:pPr>
      <w:rPr>
        <w:rFonts w:hint="default"/>
        <w:lang w:val="zh-CN" w:eastAsia="zh-CN" w:bidi="zh-CN"/>
      </w:rPr>
    </w:lvl>
    <w:lvl w:ilvl="1" w:tentative="0">
      <w:start w:val="1"/>
      <w:numFmt w:val="decimal"/>
      <w:lvlText w:val="%1-%2"/>
      <w:lvlJc w:val="left"/>
      <w:pPr>
        <w:ind w:left="104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560" w:hanging="243"/>
      </w:pPr>
      <w:rPr>
        <w:rFonts w:hint="default"/>
        <w:spacing w:val="-17"/>
        <w:w w:val="100"/>
        <w:lang w:val="zh-CN" w:eastAsia="zh-CN" w:bidi="zh-CN"/>
      </w:rPr>
    </w:lvl>
    <w:lvl w:ilvl="3" w:tentative="0">
      <w:start w:val="0"/>
      <w:numFmt w:val="bullet"/>
      <w:lvlText w:val="•"/>
      <w:lvlJc w:val="left"/>
      <w:pPr>
        <w:ind w:left="2903" w:hanging="243"/>
      </w:pPr>
      <w:rPr>
        <w:rFonts w:hint="default"/>
        <w:lang w:val="zh-CN" w:eastAsia="zh-CN" w:bidi="zh-CN"/>
      </w:rPr>
    </w:lvl>
    <w:lvl w:ilvl="4" w:tentative="0">
      <w:start w:val="0"/>
      <w:numFmt w:val="bullet"/>
      <w:lvlText w:val="•"/>
      <w:lvlJc w:val="left"/>
      <w:pPr>
        <w:ind w:left="3835" w:hanging="243"/>
      </w:pPr>
      <w:rPr>
        <w:rFonts w:hint="default"/>
        <w:lang w:val="zh-CN" w:eastAsia="zh-CN" w:bidi="zh-CN"/>
      </w:rPr>
    </w:lvl>
    <w:lvl w:ilvl="5" w:tentative="0">
      <w:start w:val="0"/>
      <w:numFmt w:val="bullet"/>
      <w:lvlText w:val="•"/>
      <w:lvlJc w:val="left"/>
      <w:pPr>
        <w:ind w:left="4767" w:hanging="243"/>
      </w:pPr>
      <w:rPr>
        <w:rFonts w:hint="default"/>
        <w:lang w:val="zh-CN" w:eastAsia="zh-CN" w:bidi="zh-CN"/>
      </w:rPr>
    </w:lvl>
    <w:lvl w:ilvl="6" w:tentative="0">
      <w:start w:val="0"/>
      <w:numFmt w:val="bullet"/>
      <w:lvlText w:val="•"/>
      <w:lvlJc w:val="left"/>
      <w:pPr>
        <w:ind w:left="5699" w:hanging="243"/>
      </w:pPr>
      <w:rPr>
        <w:rFonts w:hint="default"/>
        <w:lang w:val="zh-CN" w:eastAsia="zh-CN" w:bidi="zh-CN"/>
      </w:rPr>
    </w:lvl>
    <w:lvl w:ilvl="7" w:tentative="0">
      <w:start w:val="0"/>
      <w:numFmt w:val="bullet"/>
      <w:lvlText w:val="•"/>
      <w:lvlJc w:val="left"/>
      <w:pPr>
        <w:ind w:left="6630" w:hanging="243"/>
      </w:pPr>
      <w:rPr>
        <w:rFonts w:hint="default"/>
        <w:lang w:val="zh-CN" w:eastAsia="zh-CN" w:bidi="zh-CN"/>
      </w:rPr>
    </w:lvl>
    <w:lvl w:ilvl="8" w:tentative="0">
      <w:start w:val="0"/>
      <w:numFmt w:val="bullet"/>
      <w:lvlText w:val="•"/>
      <w:lvlJc w:val="left"/>
      <w:pPr>
        <w:ind w:left="7562" w:hanging="243"/>
      </w:pPr>
      <w:rPr>
        <w:rFonts w:hint="default"/>
        <w:lang w:val="zh-CN" w:eastAsia="zh-CN" w:bidi="zh-CN"/>
      </w:rPr>
    </w:lvl>
  </w:abstractNum>
  <w:abstractNum w:abstractNumId="9">
    <w:nsid w:val="674162AD"/>
    <w:multiLevelType w:val="multilevel"/>
    <w:tmpl w:val="674162AD"/>
    <w:lvl w:ilvl="0" w:tentative="0">
      <w:start w:val="2"/>
      <w:numFmt w:val="decimal"/>
      <w:lvlText w:val="%1"/>
      <w:lvlJc w:val="left"/>
      <w:pPr>
        <w:ind w:left="1429" w:hanging="420"/>
      </w:pPr>
      <w:rPr>
        <w:rFonts w:hint="default"/>
        <w:lang w:val="zh-CN" w:eastAsia="zh-CN" w:bidi="zh-CN"/>
      </w:rPr>
    </w:lvl>
    <w:lvl w:ilvl="1" w:tentative="0">
      <w:start w:val="1"/>
      <w:numFmt w:val="decimal"/>
      <w:lvlText w:val="%1.%2"/>
      <w:lvlJc w:val="left"/>
      <w:pPr>
        <w:ind w:left="1429" w:hanging="420"/>
      </w:pPr>
      <w:rPr>
        <w:rFonts w:hint="default"/>
        <w:w w:val="100"/>
        <w:lang w:val="zh-CN" w:eastAsia="zh-CN" w:bidi="zh-CN"/>
      </w:rPr>
    </w:lvl>
    <w:lvl w:ilvl="2" w:tentative="0">
      <w:start w:val="1"/>
      <w:numFmt w:val="decimal"/>
      <w:lvlText w:val="%1.%2.%3"/>
      <w:lvlJc w:val="left"/>
      <w:pPr>
        <w:ind w:left="574"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199" w:hanging="644"/>
      </w:pPr>
      <w:rPr>
        <w:rFonts w:hint="default"/>
        <w:lang w:val="zh-CN" w:eastAsia="zh-CN" w:bidi="zh-CN"/>
      </w:rPr>
    </w:lvl>
    <w:lvl w:ilvl="4" w:tentative="0">
      <w:start w:val="0"/>
      <w:numFmt w:val="bullet"/>
      <w:lvlText w:val="•"/>
      <w:lvlJc w:val="left"/>
      <w:pPr>
        <w:ind w:left="4088" w:hanging="644"/>
      </w:pPr>
      <w:rPr>
        <w:rFonts w:hint="default"/>
        <w:lang w:val="zh-CN" w:eastAsia="zh-CN" w:bidi="zh-CN"/>
      </w:rPr>
    </w:lvl>
    <w:lvl w:ilvl="5" w:tentative="0">
      <w:start w:val="0"/>
      <w:numFmt w:val="bullet"/>
      <w:lvlText w:val="•"/>
      <w:lvlJc w:val="left"/>
      <w:pPr>
        <w:ind w:left="4978" w:hanging="644"/>
      </w:pPr>
      <w:rPr>
        <w:rFonts w:hint="default"/>
        <w:lang w:val="zh-CN" w:eastAsia="zh-CN" w:bidi="zh-CN"/>
      </w:rPr>
    </w:lvl>
    <w:lvl w:ilvl="6" w:tentative="0">
      <w:start w:val="0"/>
      <w:numFmt w:val="bullet"/>
      <w:lvlText w:val="•"/>
      <w:lvlJc w:val="left"/>
      <w:pPr>
        <w:ind w:left="5868" w:hanging="644"/>
      </w:pPr>
      <w:rPr>
        <w:rFonts w:hint="default"/>
        <w:lang w:val="zh-CN" w:eastAsia="zh-CN" w:bidi="zh-CN"/>
      </w:rPr>
    </w:lvl>
    <w:lvl w:ilvl="7" w:tentative="0">
      <w:start w:val="0"/>
      <w:numFmt w:val="bullet"/>
      <w:lvlText w:val="•"/>
      <w:lvlJc w:val="left"/>
      <w:pPr>
        <w:ind w:left="6757" w:hanging="644"/>
      </w:pPr>
      <w:rPr>
        <w:rFonts w:hint="default"/>
        <w:lang w:val="zh-CN" w:eastAsia="zh-CN" w:bidi="zh-CN"/>
      </w:rPr>
    </w:lvl>
    <w:lvl w:ilvl="8" w:tentative="0">
      <w:start w:val="0"/>
      <w:numFmt w:val="bullet"/>
      <w:lvlText w:val="•"/>
      <w:lvlJc w:val="left"/>
      <w:pPr>
        <w:ind w:left="7647" w:hanging="644"/>
      </w:pPr>
      <w:rPr>
        <w:rFonts w:hint="default"/>
        <w:lang w:val="zh-CN" w:eastAsia="zh-CN" w:bidi="zh-CN"/>
      </w:rPr>
    </w:lvl>
  </w:abstractNum>
  <w:abstractNum w:abstractNumId="10">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11">
    <w:nsid w:val="73935C94"/>
    <w:multiLevelType w:val="singleLevel"/>
    <w:tmpl w:val="73935C94"/>
    <w:lvl w:ilvl="0" w:tentative="0">
      <w:start w:val="1"/>
      <w:numFmt w:val="decimal"/>
      <w:suff w:val="nothing"/>
      <w:lvlText w:val="%1、"/>
      <w:lvlJc w:val="left"/>
    </w:lvl>
  </w:abstractNum>
  <w:abstractNum w:abstractNumId="12">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1"/>
  </w:num>
  <w:num w:numId="2">
    <w:abstractNumId w:val="11"/>
  </w:num>
  <w:num w:numId="3">
    <w:abstractNumId w:val="6"/>
  </w:num>
  <w:num w:numId="4">
    <w:abstractNumId w:val="12"/>
  </w:num>
  <w:num w:numId="5">
    <w:abstractNumId w:val="0"/>
  </w:num>
  <w:num w:numId="6">
    <w:abstractNumId w:val="3"/>
  </w:num>
  <w:num w:numId="7">
    <w:abstractNumId w:val="9"/>
  </w:num>
  <w:num w:numId="8">
    <w:abstractNumId w:val="2"/>
  </w:num>
  <w:num w:numId="9">
    <w:abstractNumId w:val="5"/>
  </w:num>
  <w:num w:numId="10">
    <w:abstractNumId w:val="4"/>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MDBjMDI0MTI4ZTNjYTU3ODkwZTY1ZTcwMzVhZTkifQ=="/>
  </w:docVars>
  <w:rsids>
    <w:rsidRoot w:val="0BAB4AAC"/>
    <w:rsid w:val="007F7E86"/>
    <w:rsid w:val="00CD75BE"/>
    <w:rsid w:val="00DD7877"/>
    <w:rsid w:val="02421D02"/>
    <w:rsid w:val="03122E89"/>
    <w:rsid w:val="03DB218C"/>
    <w:rsid w:val="04594340"/>
    <w:rsid w:val="05926A54"/>
    <w:rsid w:val="06986394"/>
    <w:rsid w:val="07AD1A55"/>
    <w:rsid w:val="08AE0AC2"/>
    <w:rsid w:val="0A466107"/>
    <w:rsid w:val="0A5A1DA6"/>
    <w:rsid w:val="0A5A22CC"/>
    <w:rsid w:val="0ADD081A"/>
    <w:rsid w:val="0AE67314"/>
    <w:rsid w:val="0B2E2D86"/>
    <w:rsid w:val="0B530FC8"/>
    <w:rsid w:val="0BAB4AAC"/>
    <w:rsid w:val="0BFC1173"/>
    <w:rsid w:val="0EB6385C"/>
    <w:rsid w:val="0FD07BC2"/>
    <w:rsid w:val="107C2416"/>
    <w:rsid w:val="108E4341"/>
    <w:rsid w:val="10D91B25"/>
    <w:rsid w:val="11F97C6D"/>
    <w:rsid w:val="12C04AA7"/>
    <w:rsid w:val="12FA5AEE"/>
    <w:rsid w:val="14371F82"/>
    <w:rsid w:val="14A800EA"/>
    <w:rsid w:val="156F0CA4"/>
    <w:rsid w:val="15B605E5"/>
    <w:rsid w:val="16093B2A"/>
    <w:rsid w:val="1647748F"/>
    <w:rsid w:val="176E7FBC"/>
    <w:rsid w:val="1867688E"/>
    <w:rsid w:val="1A4F0571"/>
    <w:rsid w:val="1A575EC0"/>
    <w:rsid w:val="1AD54FB1"/>
    <w:rsid w:val="1B1B33FF"/>
    <w:rsid w:val="1CFD525A"/>
    <w:rsid w:val="1D170C86"/>
    <w:rsid w:val="1D883696"/>
    <w:rsid w:val="1DCB6BF8"/>
    <w:rsid w:val="1E1E727E"/>
    <w:rsid w:val="1F974FE3"/>
    <w:rsid w:val="22904147"/>
    <w:rsid w:val="2355143D"/>
    <w:rsid w:val="23952182"/>
    <w:rsid w:val="24D23C57"/>
    <w:rsid w:val="26215F4F"/>
    <w:rsid w:val="263D76B7"/>
    <w:rsid w:val="26BC17D3"/>
    <w:rsid w:val="27632892"/>
    <w:rsid w:val="28610884"/>
    <w:rsid w:val="28862099"/>
    <w:rsid w:val="2A345170"/>
    <w:rsid w:val="2A373686"/>
    <w:rsid w:val="2AEF232A"/>
    <w:rsid w:val="2B546F3A"/>
    <w:rsid w:val="2C1C3440"/>
    <w:rsid w:val="2DE11D05"/>
    <w:rsid w:val="2E5642BC"/>
    <w:rsid w:val="30F005C1"/>
    <w:rsid w:val="320A2295"/>
    <w:rsid w:val="32937663"/>
    <w:rsid w:val="33516AD7"/>
    <w:rsid w:val="34FB17CF"/>
    <w:rsid w:val="35FA0F1F"/>
    <w:rsid w:val="367927C3"/>
    <w:rsid w:val="37950A5B"/>
    <w:rsid w:val="37D3737C"/>
    <w:rsid w:val="3A891A84"/>
    <w:rsid w:val="3BAC12E2"/>
    <w:rsid w:val="3BB7646C"/>
    <w:rsid w:val="3EC7548D"/>
    <w:rsid w:val="3ED40DC0"/>
    <w:rsid w:val="3F7C0C92"/>
    <w:rsid w:val="405638A2"/>
    <w:rsid w:val="410D4CAE"/>
    <w:rsid w:val="41BD2B78"/>
    <w:rsid w:val="42073DF3"/>
    <w:rsid w:val="42C0370C"/>
    <w:rsid w:val="43331B38"/>
    <w:rsid w:val="4346094B"/>
    <w:rsid w:val="44884324"/>
    <w:rsid w:val="46CF7B75"/>
    <w:rsid w:val="483056CA"/>
    <w:rsid w:val="486C2C02"/>
    <w:rsid w:val="49555444"/>
    <w:rsid w:val="4A4E52EF"/>
    <w:rsid w:val="4AE616BF"/>
    <w:rsid w:val="4C494353"/>
    <w:rsid w:val="50A82C45"/>
    <w:rsid w:val="511C5F85"/>
    <w:rsid w:val="51A46F68"/>
    <w:rsid w:val="51AC2C51"/>
    <w:rsid w:val="51FB0B52"/>
    <w:rsid w:val="520D51BF"/>
    <w:rsid w:val="52DC2732"/>
    <w:rsid w:val="53226CDE"/>
    <w:rsid w:val="532B40B8"/>
    <w:rsid w:val="5415414D"/>
    <w:rsid w:val="55585881"/>
    <w:rsid w:val="56910587"/>
    <w:rsid w:val="59E41282"/>
    <w:rsid w:val="5A5E6139"/>
    <w:rsid w:val="5BE05C87"/>
    <w:rsid w:val="5C5D483C"/>
    <w:rsid w:val="5D467A6D"/>
    <w:rsid w:val="5D96653A"/>
    <w:rsid w:val="5ECF75EF"/>
    <w:rsid w:val="5F296CFF"/>
    <w:rsid w:val="5F915BF6"/>
    <w:rsid w:val="600532C8"/>
    <w:rsid w:val="60397FF9"/>
    <w:rsid w:val="6177714C"/>
    <w:rsid w:val="620162C4"/>
    <w:rsid w:val="62852D6A"/>
    <w:rsid w:val="629C046D"/>
    <w:rsid w:val="637349EC"/>
    <w:rsid w:val="63AB4186"/>
    <w:rsid w:val="63E77102"/>
    <w:rsid w:val="64803E3B"/>
    <w:rsid w:val="654E65BF"/>
    <w:rsid w:val="65A23327"/>
    <w:rsid w:val="65D36D8C"/>
    <w:rsid w:val="66CB09AB"/>
    <w:rsid w:val="66F2011E"/>
    <w:rsid w:val="672C7CD4"/>
    <w:rsid w:val="68903A32"/>
    <w:rsid w:val="690111C8"/>
    <w:rsid w:val="69731BEA"/>
    <w:rsid w:val="698A0CE2"/>
    <w:rsid w:val="69BE2E51"/>
    <w:rsid w:val="6A1528E0"/>
    <w:rsid w:val="6B2F0983"/>
    <w:rsid w:val="6C736977"/>
    <w:rsid w:val="6D072E5F"/>
    <w:rsid w:val="6D617028"/>
    <w:rsid w:val="6E031C06"/>
    <w:rsid w:val="6E8B2C1F"/>
    <w:rsid w:val="70C64CF5"/>
    <w:rsid w:val="72AD51BE"/>
    <w:rsid w:val="739546FC"/>
    <w:rsid w:val="75EB3305"/>
    <w:rsid w:val="75F223F4"/>
    <w:rsid w:val="763712A2"/>
    <w:rsid w:val="78705315"/>
    <w:rsid w:val="796C5765"/>
    <w:rsid w:val="7AF673B0"/>
    <w:rsid w:val="7C2E181E"/>
    <w:rsid w:val="7E575E40"/>
    <w:rsid w:val="7F016E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1"/>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afterLines="0"/>
      <w:ind w:firstLine="420" w:firstLineChars="100"/>
    </w:pPr>
    <w:rPr>
      <w:rFonts w:ascii="Calibri" w:hAnsi="Calibri"/>
      <w:kern w:val="0"/>
      <w:sz w:val="32"/>
      <w:szCs w:val="24"/>
    </w:rPr>
  </w:style>
  <w:style w:type="paragraph" w:styleId="3">
    <w:name w:val="Body Text"/>
    <w:basedOn w:val="1"/>
    <w:next w:val="2"/>
    <w:qFormat/>
    <w:uiPriority w:val="1"/>
    <w:pPr>
      <w:autoSpaceDE w:val="0"/>
      <w:autoSpaceDN w:val="0"/>
      <w:jc w:val="left"/>
    </w:pPr>
    <w:rPr>
      <w:rFonts w:ascii="宋体" w:hAnsi="宋体" w:cs="宋体"/>
      <w:kern w:val="0"/>
      <w:sz w:val="24"/>
      <w:szCs w:val="24"/>
      <w:lang w:val="zh-CN" w:bidi="zh-CN"/>
    </w:rPr>
  </w:style>
  <w:style w:type="paragraph" w:styleId="8">
    <w:name w:val="Normal Indent"/>
    <w:basedOn w:val="1"/>
    <w:qFormat/>
    <w:uiPriority w:val="0"/>
    <w:pPr>
      <w:ind w:firstLine="420" w:firstLineChars="200"/>
    </w:pPr>
    <w:rPr>
      <w:sz w:val="28"/>
      <w:szCs w:val="28"/>
    </w:rPr>
  </w:style>
  <w:style w:type="paragraph" w:styleId="9">
    <w:name w:val="annotation text"/>
    <w:basedOn w:val="1"/>
    <w:next w:val="1"/>
    <w:unhideWhenUsed/>
    <w:qFormat/>
    <w:uiPriority w:val="99"/>
    <w:pPr>
      <w:jc w:val="left"/>
    </w:pPr>
    <w:rPr>
      <w:kern w:val="0"/>
      <w:sz w:val="20"/>
    </w:rPr>
  </w:style>
  <w:style w:type="paragraph" w:styleId="10">
    <w:name w:val="Body Text Indent"/>
    <w:basedOn w:val="1"/>
    <w:next w:val="11"/>
    <w:qFormat/>
    <w:uiPriority w:val="0"/>
    <w:pPr>
      <w:ind w:firstLine="645"/>
    </w:pPr>
    <w:rPr>
      <w:rFonts w:ascii="楷体_GB2312" w:eastAsia="楷体_GB2312"/>
      <w:sz w:val="32"/>
    </w:rPr>
  </w:style>
  <w:style w:type="paragraph" w:styleId="11">
    <w:name w:val="Body Text First Indent 2"/>
    <w:basedOn w:val="10"/>
    <w:next w:val="8"/>
    <w:unhideWhenUsed/>
    <w:qFormat/>
    <w:uiPriority w:val="0"/>
    <w:pPr>
      <w:spacing w:after="120" w:line="360" w:lineRule="auto"/>
      <w:ind w:left="420" w:leftChars="200" w:firstLine="420" w:firstLineChars="200"/>
    </w:pPr>
    <w:rPr>
      <w:rFonts w:ascii="Times New Roman" w:eastAsia="Times New Roman"/>
      <w:sz w:val="21"/>
      <w:szCs w:val="22"/>
    </w:rPr>
  </w:style>
  <w:style w:type="paragraph" w:styleId="12">
    <w:name w:val="Plain Text"/>
    <w:basedOn w:val="1"/>
    <w:unhideWhenUsed/>
    <w:qFormat/>
    <w:uiPriority w:val="0"/>
    <w:rPr>
      <w:rFonts w:ascii="宋体" w:hAnsi="Courier New" w:eastAsia="宋体" w:cs="Times New Roman"/>
      <w:szCs w:val="22"/>
    </w:rPr>
  </w:style>
  <w:style w:type="paragraph" w:styleId="13">
    <w:name w:val="Body Text Indent 2"/>
    <w:basedOn w:val="1"/>
    <w:unhideWhenUsed/>
    <w:qFormat/>
    <w:uiPriority w:val="99"/>
    <w:pPr>
      <w:spacing w:after="120" w:line="480" w:lineRule="auto"/>
      <w:ind w:left="200" w:leftChars="200"/>
    </w:pPr>
    <w:rPr>
      <w:kern w:val="0"/>
      <w:sz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none"/>
    </w:rPr>
  </w:style>
  <w:style w:type="paragraph" w:customStyle="1" w:styleId="23">
    <w:name w:val="首行缩进"/>
    <w:basedOn w:val="1"/>
    <w:qFormat/>
    <w:uiPriority w:val="0"/>
    <w:pPr>
      <w:ind w:firstLine="480" w:firstLineChars="200"/>
    </w:pPr>
    <w:rPr>
      <w:rFonts w:ascii="Calibri" w:hAnsi="Calibri" w:eastAsia="宋体" w:cs="Times New Roman"/>
      <w:lang w:val="zh-CN"/>
    </w:rPr>
  </w:style>
  <w:style w:type="character" w:customStyle="1" w:styleId="24">
    <w:name w:val="style3"/>
    <w:qFormat/>
    <w:uiPriority w:val="0"/>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1"/>
    <w:pPr>
      <w:ind w:firstLine="420" w:firstLineChars="200"/>
    </w:pPr>
    <w:rPr>
      <w:rFonts w:ascii="Calibri" w:hAnsi="Calibri"/>
      <w:szCs w:val="22"/>
    </w:rPr>
  </w:style>
  <w:style w:type="paragraph" w:customStyle="1" w:styleId="27">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28">
    <w:name w:val="p15"/>
    <w:basedOn w:val="1"/>
    <w:next w:val="9"/>
    <w:qFormat/>
    <w:uiPriority w:val="99"/>
    <w:pPr>
      <w:widowControl/>
    </w:pPr>
    <w:rPr>
      <w:kern w:val="0"/>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32">
    <w:name w:val="样式 标题 2 + Times New Roman 四号 非加粗 段前: 5 磅 段后: 0 磅 行距: 固定值 20..."/>
    <w:basedOn w:val="5"/>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33">
    <w:name w:val="Normal_5"/>
    <w:qFormat/>
    <w:uiPriority w:val="0"/>
    <w:rPr>
      <w:rFonts w:ascii="Times New Roman" w:hAnsi="Times New Roman" w:eastAsia="Times New Roman" w:cs="Times New Roman"/>
      <w:sz w:val="24"/>
      <w:szCs w:val="24"/>
      <w:lang w:val="en-US" w:eastAsia="zh-CN" w:bidi="ar-SA"/>
    </w:rPr>
  </w:style>
  <w:style w:type="character" w:customStyle="1" w:styleId="34">
    <w:name w:val="font31"/>
    <w:basedOn w:val="21"/>
    <w:qFormat/>
    <w:uiPriority w:val="0"/>
    <w:rPr>
      <w:rFonts w:ascii="宋体" w:hAnsi="宋体" w:eastAsia="宋体" w:cs="宋体"/>
      <w:color w:val="000000"/>
      <w:sz w:val="12"/>
      <w:szCs w:val="12"/>
      <w:u w:val="none"/>
    </w:rPr>
  </w:style>
  <w:style w:type="character" w:customStyle="1" w:styleId="35">
    <w:name w:val="font21"/>
    <w:basedOn w:val="21"/>
    <w:qFormat/>
    <w:uiPriority w:val="0"/>
    <w:rPr>
      <w:rFonts w:ascii="宋体" w:hAnsi="宋体" w:eastAsia="宋体" w:cs="宋体"/>
      <w:color w:val="998881"/>
      <w:sz w:val="12"/>
      <w:szCs w:val="12"/>
      <w:u w:val="none"/>
    </w:rPr>
  </w:style>
  <w:style w:type="character" w:customStyle="1" w:styleId="36">
    <w:name w:val="font51"/>
    <w:basedOn w:val="21"/>
    <w:qFormat/>
    <w:uiPriority w:val="0"/>
    <w:rPr>
      <w:rFonts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17989</Words>
  <Characters>18856</Characters>
  <Lines>150</Lines>
  <Paragraphs>42</Paragraphs>
  <TotalTime>3</TotalTime>
  <ScaleCrop>false</ScaleCrop>
  <LinksUpToDate>false</LinksUpToDate>
  <CharactersWithSpaces>20860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2021-05-20T03:39:00Z</dcterms:created>
  <dc:creator>NTKO</dc:creator>
  <cp:lastModifiedBy>..</cp:lastModifiedBy>
  <cp:lastPrinted>2021-04-01T08:09:00Z</cp:lastPrinted>
  <dcterms:modified xsi:type="dcterms:W3CDTF">2023-07-12T01:31:02Z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CBE52F8DCEBC4744BE41C250E0873C6E_13</vt:lpwstr>
  </property>
</Properties>
</file>