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A15FB">
      <w:pPr>
        <w:spacing w:line="360" w:lineRule="auto"/>
        <w:jc w:val="center"/>
        <w:rPr>
          <w:rFonts w:hint="eastAsia" w:ascii="宋体" w:hAnsi="宋体" w:eastAsia="宋体" w:cs="宋体"/>
          <w:color w:val="000000"/>
          <w:spacing w:val="-5"/>
          <w:position w:val="15"/>
          <w:sz w:val="40"/>
          <w:szCs w:val="40"/>
          <w:lang w:val="en-US" w:eastAsia="zh-CN"/>
        </w:rPr>
      </w:pPr>
      <w:r>
        <w:rPr>
          <w:rFonts w:hint="eastAsia" w:ascii="宋体" w:hAnsi="宋体" w:eastAsia="宋体" w:cs="宋体"/>
          <w:color w:val="000000"/>
          <w:spacing w:val="-5"/>
          <w:position w:val="15"/>
          <w:sz w:val="40"/>
          <w:szCs w:val="40"/>
          <w:lang w:val="en-US" w:eastAsia="zh-CN"/>
        </w:rPr>
        <w:t>安徽融城高新技术产业发展集团有限公司2022-2024年度合并审计报告及2025年6月份合并报表服务项目</w:t>
      </w:r>
    </w:p>
    <w:p w14:paraId="0297D119">
      <w:pPr>
        <w:jc w:val="center"/>
        <w:rPr>
          <w:rFonts w:hint="eastAsia" w:ascii="宋体" w:hAnsi="宋体" w:eastAsia="宋体" w:cs="宋体"/>
          <w:color w:val="000000"/>
          <w:spacing w:val="-5"/>
          <w:position w:val="15"/>
          <w:sz w:val="44"/>
          <w:szCs w:val="44"/>
          <w:lang w:val="en-US" w:eastAsia="zh-CN"/>
        </w:rPr>
      </w:pP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AHWM-20250029</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C8605AD">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界首融华置业有限公司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9</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64480"/>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372DC2A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B17898D">
          <w:pPr>
            <w:pStyle w:val="17"/>
            <w:tabs>
              <w:tab w:val="right" w:leader="dot" w:pos="9680"/>
            </w:tabs>
          </w:pPr>
          <w:r>
            <w:fldChar w:fldCharType="begin"/>
          </w:r>
          <w:r>
            <w:instrText xml:space="preserve">TOC \o "1-3" \h \u </w:instrText>
          </w:r>
          <w:r>
            <w:fldChar w:fldCharType="separate"/>
          </w:r>
          <w:r>
            <w:fldChar w:fldCharType="begin"/>
          </w:r>
          <w:r>
            <w:instrText xml:space="preserve"> HYPERLINK \l _Toc31705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_Toc31705 \h </w:instrText>
          </w:r>
          <w:r>
            <w:fldChar w:fldCharType="separate"/>
          </w:r>
          <w:r>
            <w:t>1</w:t>
          </w:r>
          <w:r>
            <w:fldChar w:fldCharType="end"/>
          </w:r>
          <w:r>
            <w:fldChar w:fldCharType="end"/>
          </w:r>
        </w:p>
        <w:p w14:paraId="004DDF9C">
          <w:pPr>
            <w:pStyle w:val="18"/>
            <w:tabs>
              <w:tab w:val="right" w:leader="dot" w:pos="9680"/>
            </w:tabs>
          </w:pPr>
          <w:r>
            <w:fldChar w:fldCharType="begin"/>
          </w:r>
          <w:r>
            <w:instrText xml:space="preserve"> HYPERLINK \l _Toc14478 </w:instrText>
          </w:r>
          <w:r>
            <w:fldChar w:fldCharType="separate"/>
          </w:r>
          <w:r>
            <w:rPr>
              <w:rFonts w:hint="eastAsia" w:ascii="方正宋黑简体" w:hAnsi="宋体" w:eastAsia="方正宋黑简体" w:cs="黑体"/>
              <w:bCs/>
              <w:szCs w:val="30"/>
              <w:lang w:val="en-US" w:eastAsia="zh-CN"/>
            </w:rPr>
            <w:t>安徽融城高新技术产业发展集团有限公司2022-2024年度合并审计报告及2025年6月份合并报表服务项目</w:t>
          </w:r>
          <w:r>
            <w:fldChar w:fldCharType="end"/>
          </w:r>
          <w:r>
            <w:fldChar w:fldCharType="begin"/>
          </w:r>
          <w:r>
            <w:instrText xml:space="preserve"> HYPERLINK \l _Toc18001 </w:instrText>
          </w:r>
          <w:r>
            <w:fldChar w:fldCharType="separate"/>
          </w:r>
          <w:r>
            <w:rPr>
              <w:rFonts w:hint="eastAsia" w:ascii="方正宋黑简体" w:hAnsi="宋体" w:eastAsia="方正宋黑简体" w:cs="黑体"/>
              <w:bCs/>
              <w:szCs w:val="30"/>
              <w:lang w:val="en-US" w:eastAsia="zh-CN"/>
            </w:rPr>
            <w:t>询价公告</w:t>
          </w:r>
          <w:r>
            <w:tab/>
          </w:r>
          <w:r>
            <w:fldChar w:fldCharType="begin"/>
          </w:r>
          <w:r>
            <w:instrText xml:space="preserve"> PAGEREF _Toc18001 \h </w:instrText>
          </w:r>
          <w:r>
            <w:fldChar w:fldCharType="separate"/>
          </w:r>
          <w:r>
            <w:t>1</w:t>
          </w:r>
          <w:r>
            <w:fldChar w:fldCharType="end"/>
          </w:r>
          <w:r>
            <w:fldChar w:fldCharType="end"/>
          </w:r>
        </w:p>
        <w:p w14:paraId="758BF9FD">
          <w:pPr>
            <w:pStyle w:val="18"/>
            <w:tabs>
              <w:tab w:val="right" w:leader="dot" w:pos="9680"/>
            </w:tabs>
          </w:pPr>
          <w:r>
            <w:fldChar w:fldCharType="begin"/>
          </w:r>
          <w:r>
            <w:instrText xml:space="preserve"> HYPERLINK \l _Toc26255 </w:instrText>
          </w:r>
          <w:r>
            <w:fldChar w:fldCharType="separate"/>
          </w:r>
          <w:r>
            <w:rPr>
              <w:rFonts w:hint="eastAsia" w:ascii="黑体" w:hAnsi="黑体" w:eastAsia="黑体" w:cs="宋体"/>
              <w:bCs/>
              <w:szCs w:val="28"/>
            </w:rPr>
            <w:t>一、采购项目名称及内容</w:t>
          </w:r>
          <w:r>
            <w:tab/>
          </w:r>
          <w:r>
            <w:fldChar w:fldCharType="begin"/>
          </w:r>
          <w:r>
            <w:instrText xml:space="preserve"> PAGEREF _Toc26255 \h </w:instrText>
          </w:r>
          <w:r>
            <w:fldChar w:fldCharType="separate"/>
          </w:r>
          <w:r>
            <w:t>1</w:t>
          </w:r>
          <w:r>
            <w:fldChar w:fldCharType="end"/>
          </w:r>
          <w:r>
            <w:fldChar w:fldCharType="end"/>
          </w:r>
        </w:p>
        <w:p w14:paraId="2DDB32B7">
          <w:pPr>
            <w:pStyle w:val="18"/>
            <w:tabs>
              <w:tab w:val="right" w:leader="dot" w:pos="9680"/>
            </w:tabs>
          </w:pPr>
          <w:r>
            <w:fldChar w:fldCharType="begin"/>
          </w:r>
          <w:r>
            <w:instrText xml:space="preserve"> HYPERLINK \l _Toc10677 </w:instrText>
          </w:r>
          <w: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_Toc10677 \h </w:instrText>
          </w:r>
          <w:r>
            <w:fldChar w:fldCharType="separate"/>
          </w:r>
          <w:r>
            <w:t>1</w:t>
          </w:r>
          <w:r>
            <w:fldChar w:fldCharType="end"/>
          </w:r>
          <w:r>
            <w:fldChar w:fldCharType="end"/>
          </w:r>
        </w:p>
        <w:p w14:paraId="7CD67784">
          <w:pPr>
            <w:pStyle w:val="18"/>
            <w:tabs>
              <w:tab w:val="right" w:leader="dot" w:pos="9680"/>
            </w:tabs>
          </w:pPr>
          <w:r>
            <w:fldChar w:fldCharType="begin"/>
          </w:r>
          <w:r>
            <w:instrText xml:space="preserve"> HYPERLINK \l _Toc13138 </w:instrText>
          </w:r>
          <w: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_Toc13138 \h </w:instrText>
          </w:r>
          <w:r>
            <w:fldChar w:fldCharType="separate"/>
          </w:r>
          <w:r>
            <w:t>2</w:t>
          </w:r>
          <w:r>
            <w:fldChar w:fldCharType="end"/>
          </w:r>
          <w:r>
            <w:fldChar w:fldCharType="end"/>
          </w:r>
        </w:p>
        <w:p w14:paraId="59A5C822">
          <w:pPr>
            <w:pStyle w:val="18"/>
            <w:tabs>
              <w:tab w:val="right" w:leader="dot" w:pos="9680"/>
            </w:tabs>
          </w:pPr>
          <w:r>
            <w:fldChar w:fldCharType="begin"/>
          </w:r>
          <w:r>
            <w:instrText xml:space="preserve"> HYPERLINK \l _Toc8508 </w:instrText>
          </w:r>
          <w: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_Toc8508 \h </w:instrText>
          </w:r>
          <w:r>
            <w:fldChar w:fldCharType="separate"/>
          </w:r>
          <w:r>
            <w:t>2</w:t>
          </w:r>
          <w:r>
            <w:fldChar w:fldCharType="end"/>
          </w:r>
          <w:r>
            <w:fldChar w:fldCharType="end"/>
          </w:r>
        </w:p>
        <w:p w14:paraId="1A16119E">
          <w:pPr>
            <w:pStyle w:val="18"/>
            <w:tabs>
              <w:tab w:val="right" w:leader="dot" w:pos="9680"/>
            </w:tabs>
          </w:pPr>
          <w:r>
            <w:fldChar w:fldCharType="begin"/>
          </w:r>
          <w:r>
            <w:instrText xml:space="preserve"> HYPERLINK \l _Toc27502 </w:instrText>
          </w:r>
          <w: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_Toc27502 \h </w:instrText>
          </w:r>
          <w:r>
            <w:fldChar w:fldCharType="separate"/>
          </w:r>
          <w:r>
            <w:t>2</w:t>
          </w:r>
          <w:r>
            <w:fldChar w:fldCharType="end"/>
          </w:r>
          <w:r>
            <w:fldChar w:fldCharType="end"/>
          </w:r>
        </w:p>
        <w:p w14:paraId="5B8FB3B1">
          <w:pPr>
            <w:pStyle w:val="18"/>
            <w:tabs>
              <w:tab w:val="right" w:leader="dot" w:pos="9680"/>
            </w:tabs>
          </w:pPr>
          <w:r>
            <w:fldChar w:fldCharType="begin"/>
          </w:r>
          <w:r>
            <w:instrText xml:space="preserve"> HYPERLINK \l _Toc29810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_Toc29810 \h </w:instrText>
          </w:r>
          <w:r>
            <w:fldChar w:fldCharType="separate"/>
          </w:r>
          <w:r>
            <w:t>3</w:t>
          </w:r>
          <w:r>
            <w:fldChar w:fldCharType="end"/>
          </w:r>
          <w:r>
            <w:fldChar w:fldCharType="end"/>
          </w:r>
        </w:p>
        <w:p w14:paraId="0B5E3CFF">
          <w:pPr>
            <w:pStyle w:val="18"/>
            <w:tabs>
              <w:tab w:val="right" w:leader="dot" w:pos="9680"/>
            </w:tabs>
          </w:pPr>
          <w:r>
            <w:fldChar w:fldCharType="begin"/>
          </w:r>
          <w:r>
            <w:instrText xml:space="preserve"> HYPERLINK \l _Toc30793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_Toc30793 \h </w:instrText>
          </w:r>
          <w:r>
            <w:fldChar w:fldCharType="separate"/>
          </w:r>
          <w:r>
            <w:t>5</w:t>
          </w:r>
          <w:r>
            <w:fldChar w:fldCharType="end"/>
          </w:r>
          <w:r>
            <w:fldChar w:fldCharType="end"/>
          </w:r>
        </w:p>
        <w:p w14:paraId="5404A30C">
          <w:pPr>
            <w:pStyle w:val="18"/>
            <w:tabs>
              <w:tab w:val="right" w:leader="dot" w:pos="9680"/>
            </w:tabs>
          </w:pPr>
          <w:r>
            <w:fldChar w:fldCharType="begin"/>
          </w:r>
          <w:r>
            <w:instrText xml:space="preserve"> HYPERLINK \l _Toc20235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_Toc20235 \h </w:instrText>
          </w:r>
          <w:r>
            <w:fldChar w:fldCharType="separate"/>
          </w:r>
          <w:r>
            <w:t>6</w:t>
          </w:r>
          <w:r>
            <w:fldChar w:fldCharType="end"/>
          </w:r>
          <w:r>
            <w:fldChar w:fldCharType="end"/>
          </w:r>
        </w:p>
        <w:p w14:paraId="5EEA6F61">
          <w:pPr>
            <w:pStyle w:val="18"/>
            <w:tabs>
              <w:tab w:val="right" w:leader="dot" w:pos="9680"/>
            </w:tabs>
          </w:pPr>
          <w:r>
            <w:fldChar w:fldCharType="begin"/>
          </w:r>
          <w:r>
            <w:instrText xml:space="preserve"> HYPERLINK \l _Toc10016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_Toc10016 \h </w:instrText>
          </w:r>
          <w:r>
            <w:fldChar w:fldCharType="separate"/>
          </w:r>
          <w:r>
            <w:t>7</w:t>
          </w:r>
          <w:r>
            <w:fldChar w:fldCharType="end"/>
          </w:r>
          <w:r>
            <w:fldChar w:fldCharType="end"/>
          </w:r>
        </w:p>
        <w:p w14:paraId="4B879143">
          <w:pPr>
            <w:pStyle w:val="18"/>
            <w:tabs>
              <w:tab w:val="right" w:leader="dot" w:pos="9680"/>
            </w:tabs>
          </w:pPr>
          <w:r>
            <w:fldChar w:fldCharType="begin"/>
          </w:r>
          <w:r>
            <w:instrText xml:space="preserve"> HYPERLINK \l _Toc16451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_Toc16451 \h </w:instrText>
          </w:r>
          <w:r>
            <w:fldChar w:fldCharType="separate"/>
          </w:r>
          <w:r>
            <w:t>8</w:t>
          </w:r>
          <w:r>
            <w:fldChar w:fldCharType="end"/>
          </w:r>
          <w:r>
            <w:fldChar w:fldCharType="end"/>
          </w:r>
        </w:p>
        <w:p w14:paraId="5CAF75D5">
          <w:pPr>
            <w:pStyle w:val="18"/>
            <w:tabs>
              <w:tab w:val="right" w:leader="dot" w:pos="9680"/>
            </w:tabs>
          </w:pPr>
          <w:r>
            <w:fldChar w:fldCharType="begin"/>
          </w:r>
          <w:r>
            <w:instrText xml:space="preserve"> HYPERLINK \l _Toc11627 </w:instrText>
          </w:r>
          <w:r>
            <w:fldChar w:fldCharType="separate"/>
          </w:r>
          <w:r>
            <w:rPr>
              <w:rFonts w:hint="eastAsia" w:ascii="方正宋黑简体" w:hAnsi="宋体" w:eastAsia="方正宋黑简体" w:cs="黑体"/>
              <w:bCs/>
              <w:szCs w:val="32"/>
            </w:rPr>
            <w:t>七、 采购需求</w:t>
          </w:r>
          <w:r>
            <w:tab/>
          </w:r>
          <w:r>
            <w:fldChar w:fldCharType="begin"/>
          </w:r>
          <w:r>
            <w:instrText xml:space="preserve"> PAGEREF _Toc11627 \h </w:instrText>
          </w:r>
          <w:r>
            <w:fldChar w:fldCharType="separate"/>
          </w:r>
          <w:r>
            <w:t>9</w:t>
          </w:r>
          <w:r>
            <w:fldChar w:fldCharType="end"/>
          </w:r>
          <w:r>
            <w:fldChar w:fldCharType="end"/>
          </w:r>
        </w:p>
        <w:p w14:paraId="2C86D10E">
          <w:pPr>
            <w:pStyle w:val="18"/>
            <w:tabs>
              <w:tab w:val="right" w:leader="dot" w:pos="9680"/>
            </w:tabs>
          </w:pPr>
          <w:r>
            <w:fldChar w:fldCharType="begin"/>
          </w:r>
          <w:r>
            <w:instrText xml:space="preserve"> HYPERLINK \l _Toc9773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_Toc9773 \h </w:instrText>
          </w:r>
          <w:r>
            <w:fldChar w:fldCharType="separate"/>
          </w:r>
          <w:r>
            <w:t>11</w:t>
          </w:r>
          <w:r>
            <w:fldChar w:fldCharType="end"/>
          </w:r>
          <w:r>
            <w:fldChar w:fldCharType="end"/>
          </w:r>
        </w:p>
        <w:p w14:paraId="445BB48C">
          <w:pPr>
            <w:pStyle w:val="17"/>
            <w:tabs>
              <w:tab w:val="right" w:leader="dot" w:pos="9680"/>
            </w:tabs>
          </w:pPr>
          <w:r>
            <w:fldChar w:fldCharType="begin"/>
          </w:r>
          <w:r>
            <w:instrText xml:space="preserve"> HYPERLINK \l _Toc22440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_Toc22440 \h </w:instrText>
          </w:r>
          <w:r>
            <w:fldChar w:fldCharType="separate"/>
          </w:r>
          <w:r>
            <w:t>16</w:t>
          </w:r>
          <w:r>
            <w:fldChar w:fldCharType="end"/>
          </w:r>
          <w:r>
            <w:fldChar w:fldCharType="end"/>
          </w:r>
        </w:p>
        <w:p w14:paraId="7AB08BD6">
          <w:pPr>
            <w:pStyle w:val="18"/>
            <w:tabs>
              <w:tab w:val="right" w:leader="dot" w:pos="9680"/>
            </w:tabs>
          </w:pPr>
          <w:r>
            <w:fldChar w:fldCharType="begin"/>
          </w:r>
          <w:r>
            <w:instrText xml:space="preserve"> HYPERLINK \l _Toc498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_Toc498 \h </w:instrText>
          </w:r>
          <w:r>
            <w:fldChar w:fldCharType="separate"/>
          </w:r>
          <w:r>
            <w:t>17</w:t>
          </w:r>
          <w:r>
            <w:fldChar w:fldCharType="end"/>
          </w:r>
          <w:r>
            <w:fldChar w:fldCharType="end"/>
          </w:r>
        </w:p>
        <w:p w14:paraId="0D66BA0B">
          <w:pPr>
            <w:pStyle w:val="18"/>
            <w:tabs>
              <w:tab w:val="right" w:leader="dot" w:pos="9680"/>
            </w:tabs>
          </w:pPr>
          <w:r>
            <w:fldChar w:fldCharType="begin"/>
          </w:r>
          <w:r>
            <w:instrText xml:space="preserve"> HYPERLINK \l _Toc4402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_Toc4402 \h </w:instrText>
          </w:r>
          <w:r>
            <w:fldChar w:fldCharType="separate"/>
          </w:r>
          <w:r>
            <w:t>18</w:t>
          </w:r>
          <w:r>
            <w:fldChar w:fldCharType="end"/>
          </w:r>
          <w:r>
            <w:fldChar w:fldCharType="end"/>
          </w:r>
        </w:p>
        <w:p w14:paraId="0DCEA333">
          <w:pPr>
            <w:pStyle w:val="18"/>
            <w:tabs>
              <w:tab w:val="right" w:leader="dot" w:pos="9680"/>
            </w:tabs>
          </w:pPr>
          <w:r>
            <w:fldChar w:fldCharType="begin"/>
          </w:r>
          <w:r>
            <w:instrText xml:space="preserve"> HYPERLINK \l _Toc22600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_Toc22600 \h </w:instrText>
          </w:r>
          <w:r>
            <w:fldChar w:fldCharType="separate"/>
          </w:r>
          <w:r>
            <w:t>19</w:t>
          </w:r>
          <w:r>
            <w:fldChar w:fldCharType="end"/>
          </w:r>
          <w:r>
            <w:fldChar w:fldCharType="end"/>
          </w:r>
        </w:p>
        <w:p w14:paraId="61C57DE3">
          <w:pPr>
            <w:pStyle w:val="18"/>
            <w:tabs>
              <w:tab w:val="right" w:leader="dot" w:pos="9680"/>
            </w:tabs>
          </w:pPr>
          <w:r>
            <w:fldChar w:fldCharType="begin"/>
          </w:r>
          <w:r>
            <w:instrText xml:space="preserve"> HYPERLINK \l _Toc1782 </w:instrText>
          </w:r>
          <w:r>
            <w:fldChar w:fldCharType="separate"/>
          </w:r>
          <w:r>
            <w:rPr>
              <w:rFonts w:hint="eastAsia" w:ascii="宋体" w:hAnsi="宋体" w:eastAsia="宋体" w:cs="宋体"/>
              <w:szCs w:val="32"/>
              <w:lang w:val="en-US" w:eastAsia="zh-CN"/>
            </w:rPr>
            <w:t>四、 人员配置</w:t>
          </w:r>
          <w:r>
            <w:tab/>
          </w:r>
          <w:r>
            <w:fldChar w:fldCharType="begin"/>
          </w:r>
          <w:r>
            <w:instrText xml:space="preserve"> PAGEREF _Toc1782 \h </w:instrText>
          </w:r>
          <w:r>
            <w:fldChar w:fldCharType="separate"/>
          </w:r>
          <w:r>
            <w:t>21</w:t>
          </w:r>
          <w:r>
            <w:fldChar w:fldCharType="end"/>
          </w:r>
          <w:r>
            <w:fldChar w:fldCharType="end"/>
          </w:r>
        </w:p>
        <w:p w14:paraId="7A454F25">
          <w:pPr>
            <w:pStyle w:val="18"/>
            <w:tabs>
              <w:tab w:val="right" w:leader="dot" w:pos="9680"/>
            </w:tabs>
          </w:pPr>
          <w:r>
            <w:fldChar w:fldCharType="begin"/>
          </w:r>
          <w:r>
            <w:instrText xml:space="preserve"> HYPERLINK \l _Toc2000 </w:instrText>
          </w:r>
          <w:r>
            <w:fldChar w:fldCharType="separate"/>
          </w:r>
          <w:r>
            <w:rPr>
              <w:rFonts w:hint="eastAsia" w:ascii="宋体" w:hAnsi="宋体" w:eastAsia="宋体" w:cs="宋体"/>
              <w:szCs w:val="32"/>
              <w:lang w:val="en-US" w:eastAsia="zh-CN"/>
            </w:rPr>
            <w:t>五、 服务方案</w:t>
          </w:r>
          <w:r>
            <w:tab/>
          </w:r>
          <w:r>
            <w:fldChar w:fldCharType="begin"/>
          </w:r>
          <w:r>
            <w:instrText xml:space="preserve"> PAGEREF _Toc2000 \h </w:instrText>
          </w:r>
          <w:r>
            <w:fldChar w:fldCharType="separate"/>
          </w:r>
          <w:r>
            <w:t>22</w:t>
          </w:r>
          <w:r>
            <w:fldChar w:fldCharType="end"/>
          </w:r>
          <w:r>
            <w:fldChar w:fldCharType="end"/>
          </w:r>
        </w:p>
        <w:p w14:paraId="4256797D">
          <w:pPr>
            <w:pStyle w:val="18"/>
            <w:tabs>
              <w:tab w:val="right" w:leader="dot" w:pos="9680"/>
            </w:tabs>
          </w:pPr>
          <w:r>
            <w:fldChar w:fldCharType="begin"/>
          </w:r>
          <w:r>
            <w:instrText xml:space="preserve"> HYPERLINK \l _Toc21635 </w:instrText>
          </w:r>
          <w:r>
            <w:fldChar w:fldCharType="separate"/>
          </w:r>
          <w:r>
            <w:rPr>
              <w:rFonts w:hint="eastAsia" w:ascii="方正宋黑简体" w:hAnsi="宋体" w:eastAsia="方正宋黑简体" w:cs="黑体"/>
              <w:bCs/>
              <w:szCs w:val="36"/>
              <w:lang w:val="en-US" w:eastAsia="zh-CN"/>
            </w:rPr>
            <w:t>六</w:t>
          </w:r>
          <w:r>
            <w:rPr>
              <w:rFonts w:hint="eastAsia" w:ascii="方正宋黑简体" w:hAnsi="宋体" w:eastAsia="方正宋黑简体" w:cs="黑体"/>
              <w:bCs/>
              <w:szCs w:val="36"/>
            </w:rPr>
            <w:t>、资格证明材料</w:t>
          </w:r>
          <w:r>
            <w:tab/>
          </w:r>
          <w:r>
            <w:fldChar w:fldCharType="begin"/>
          </w:r>
          <w:r>
            <w:instrText xml:space="preserve"> PAGEREF _Toc21635 \h </w:instrText>
          </w:r>
          <w:r>
            <w:fldChar w:fldCharType="separate"/>
          </w:r>
          <w:r>
            <w:t>23</w:t>
          </w:r>
          <w:r>
            <w:fldChar w:fldCharType="end"/>
          </w:r>
          <w:r>
            <w:fldChar w:fldCharType="end"/>
          </w:r>
        </w:p>
        <w:p w14:paraId="37405F17">
          <w:pPr>
            <w:rPr>
              <w:rFonts w:ascii="Tahoma" w:hAnsi="Tahoma" w:eastAsia="微软雅黑" w:cstheme="minorBidi"/>
              <w:sz w:val="22"/>
              <w:szCs w:val="22"/>
              <w:lang w:val="en-US" w:eastAsia="zh-CN" w:bidi="ar-SA"/>
            </w:rPr>
          </w:pPr>
          <w:r>
            <w:fldChar w:fldCharType="end"/>
          </w:r>
        </w:p>
      </w:sdtContent>
    </w:sdt>
    <w:p w14:paraId="4AA329EF">
      <w:pPr>
        <w:rPr>
          <w:rFonts w:ascii="Tahoma" w:hAnsi="Tahoma" w:eastAsia="微软雅黑" w:cstheme="minorBidi"/>
          <w:sz w:val="22"/>
          <w:szCs w:val="22"/>
          <w:lang w:val="en-US" w:eastAsia="zh-CN" w:bidi="ar-SA"/>
        </w:rPr>
      </w:pPr>
    </w:p>
    <w:p w14:paraId="474C199D">
      <w:pPr>
        <w:rPr>
          <w:rFonts w:ascii="Tahoma" w:hAnsi="Tahoma" w:eastAsia="微软雅黑" w:cstheme="minorBidi"/>
          <w:sz w:val="22"/>
          <w:szCs w:val="22"/>
          <w:lang w:val="en-US" w:eastAsia="zh-CN" w:bidi="ar-SA"/>
        </w:rPr>
      </w:pPr>
    </w:p>
    <w:p w14:paraId="418BCB7B">
      <w:pPr>
        <w:spacing w:line="420" w:lineRule="exact"/>
        <w:jc w:val="center"/>
        <w:outlineLvl w:val="0"/>
        <w:rPr>
          <w:rFonts w:hint="eastAsia" w:ascii="方正宋黑简体" w:hAnsi="宋体" w:eastAsia="方正宋黑简体" w:cs="黑体"/>
          <w:b/>
          <w:bCs/>
          <w:sz w:val="32"/>
          <w:szCs w:val="32"/>
        </w:r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bookmarkStart w:id="0" w:name="_Toc31705"/>
    </w:p>
    <w:p w14:paraId="547A1A8A">
      <w:pPr>
        <w:spacing w:line="420" w:lineRule="exact"/>
        <w:jc w:val="center"/>
        <w:outlineLvl w:val="0"/>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14:paraId="67A853A8">
      <w:pPr>
        <w:spacing w:line="240" w:lineRule="auto"/>
        <w:jc w:val="center"/>
        <w:outlineLvl w:val="1"/>
        <w:rPr>
          <w:rFonts w:hint="eastAsia" w:ascii="方正宋黑简体" w:hAnsi="宋体" w:eastAsia="方正宋黑简体" w:cs="黑体"/>
          <w:b/>
          <w:bCs/>
          <w:sz w:val="30"/>
          <w:szCs w:val="30"/>
          <w:lang w:val="en-US" w:eastAsia="zh-CN"/>
        </w:rPr>
      </w:pPr>
      <w:bookmarkStart w:id="1" w:name="_Toc466549684"/>
      <w:bookmarkStart w:id="2" w:name="_Toc18001"/>
      <w:r>
        <w:rPr>
          <w:rFonts w:hint="eastAsia" w:ascii="方正宋黑简体" w:hAnsi="宋体" w:eastAsia="方正宋黑简体" w:cs="黑体"/>
          <w:b/>
          <w:bCs/>
          <w:sz w:val="30"/>
          <w:szCs w:val="30"/>
          <w:lang w:val="en-US" w:eastAsia="zh-CN"/>
        </w:rPr>
        <w:t>安徽融城高新技术产业发展集团有限公司2022-2024年度合并审计报告及2025年6月份合并报表服务项目询价</w:t>
      </w:r>
      <w:bookmarkEnd w:id="1"/>
      <w:r>
        <w:rPr>
          <w:rFonts w:hint="eastAsia" w:ascii="方正宋黑简体" w:hAnsi="宋体" w:eastAsia="方正宋黑简体" w:cs="黑体"/>
          <w:b/>
          <w:bCs/>
          <w:sz w:val="30"/>
          <w:szCs w:val="30"/>
          <w:lang w:val="en-US" w:eastAsia="zh-CN"/>
        </w:rPr>
        <w:t>公告</w:t>
      </w:r>
      <w:bookmarkEnd w:id="2"/>
    </w:p>
    <w:p w14:paraId="5A2C81D2">
      <w:pPr>
        <w:pStyle w:val="19"/>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安徽融城高新技术产业发展集团有限公司2022-2024年度合并审计报告及2025年6月份合并报表服务项目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6255"/>
      <w:r>
        <w:rPr>
          <w:rFonts w:hint="eastAsia" w:ascii="黑体" w:hAnsi="黑体" w:eastAsia="黑体" w:cs="宋体"/>
          <w:b/>
          <w:bCs/>
          <w:color w:val="000000"/>
          <w:sz w:val="28"/>
          <w:szCs w:val="28"/>
        </w:rPr>
        <w:t>一、采购项目名称及内容</w:t>
      </w:r>
      <w:bookmarkEnd w:id="4"/>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1、项目编号：AHWM-20250029</w:t>
      </w:r>
    </w:p>
    <w:p w14:paraId="22998E8C">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2、项目名称：安徽融城高新技术产业发展集团有限公司2022-2024年度合并审计报告及2025年6月份合并报表服务项目</w:t>
      </w:r>
    </w:p>
    <w:p w14:paraId="7B30B295">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3、项目单位：界首融华置业有限公司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5、采购范围：安徽融城高新技术产业发展集团有限公司2022-2024年度合并审计报告及2025年6月份合并报表服务项目</w:t>
      </w:r>
      <w:bookmarkStart w:id="50" w:name="_GoBack"/>
      <w:bookmarkEnd w:id="50"/>
      <w:r>
        <w:rPr>
          <w:rFonts w:hint="eastAsia" w:ascii="仿宋" w:hAnsi="仿宋" w:eastAsia="仿宋"/>
          <w:color w:val="000000"/>
          <w:sz w:val="28"/>
          <w:szCs w:val="28"/>
          <w:lang w:val="en-US" w:eastAsia="zh-CN"/>
        </w:rPr>
        <w:t>，出具2022-2024年度合并财务审计报告及2025年6月合并财务报表（含资产负债表、利润表、现金流量表、所有者权益变动表及附注），具体内容详见采购需求。</w:t>
      </w:r>
    </w:p>
    <w:p w14:paraId="2404BDD1">
      <w:pPr>
        <w:numPr>
          <w:ilvl w:val="0"/>
          <w:numId w:val="0"/>
        </w:numPr>
        <w:spacing w:before="120" w:after="120" w:line="288"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w:t>
      </w:r>
      <w:r>
        <w:rPr>
          <w:rFonts w:hint="eastAsia" w:ascii="仿宋" w:hAnsi="仿宋" w:eastAsia="仿宋" w:cs="仿宋"/>
          <w:color w:val="auto"/>
          <w:sz w:val="28"/>
          <w:szCs w:val="28"/>
          <w:lang w:val="en-US" w:eastAsia="zh-CN"/>
        </w:rPr>
        <w:t>自合同签订之日起30个工作日内完成全部服务并提交正式成果文件。</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677"/>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141B525B">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1、符合《中华人民共和国政府采购法》第二十二条要求；</w:t>
      </w:r>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w:t>
      </w:r>
      <w:r>
        <w:rPr>
          <w:rFonts w:ascii="仿宋" w:hAnsi="仿宋" w:eastAsia="仿宋" w:cs="仿宋"/>
          <w:i w:val="0"/>
          <w:iCs w:val="0"/>
          <w:caps w:val="0"/>
          <w:color w:val="000000"/>
          <w:spacing w:val="0"/>
          <w:sz w:val="28"/>
          <w:szCs w:val="28"/>
        </w:rPr>
        <w:t>供应商具有有效的会计师事务所执业资格证书</w:t>
      </w:r>
      <w:r>
        <w:rPr>
          <w:rFonts w:hint="eastAsia" w:ascii="仿宋" w:hAnsi="仿宋" w:eastAsia="仿宋" w:cs="仿宋"/>
          <w:i w:val="0"/>
          <w:iCs w:val="0"/>
          <w:caps w:val="0"/>
          <w:color w:val="333333"/>
          <w:spacing w:val="0"/>
          <w:sz w:val="28"/>
          <w:szCs w:val="28"/>
          <w:lang w:eastAsia="zh-CN"/>
        </w:rPr>
        <w:t>；</w:t>
      </w:r>
      <w:r>
        <w:rPr>
          <w:rFonts w:ascii="仿宋" w:hAnsi="仿宋" w:eastAsia="仿宋" w:cs="仿宋"/>
          <w:i w:val="0"/>
          <w:iCs w:val="0"/>
          <w:caps w:val="0"/>
          <w:color w:val="000000"/>
          <w:spacing w:val="0"/>
          <w:sz w:val="28"/>
          <w:szCs w:val="28"/>
        </w:rPr>
        <w:t>项目负责人具有注册会计师职业资格证书</w:t>
      </w:r>
      <w:r>
        <w:rPr>
          <w:rFonts w:hint="eastAsia" w:ascii="仿宋" w:hAnsi="仿宋" w:eastAsia="仿宋" w:cs="仿宋"/>
          <w:i w:val="0"/>
          <w:iCs w:val="0"/>
          <w:caps w:val="0"/>
          <w:color w:val="333333"/>
          <w:spacing w:val="0"/>
          <w:sz w:val="28"/>
          <w:szCs w:val="28"/>
          <w:lang w:val="en-US" w:eastAsia="zh-CN"/>
        </w:rPr>
        <w:t>；</w:t>
      </w:r>
    </w:p>
    <w:p w14:paraId="7E9E9CFC">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13138"/>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25</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9</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28</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9"/>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8508"/>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2025年9月28日15时00 分（迟于截止时间递交的响应文件，将不予接受）</w:t>
      </w:r>
    </w:p>
    <w:p w14:paraId="6624EAB2">
      <w:pPr>
        <w:pStyle w:val="19"/>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6271909"/>
      <w:bookmarkStart w:id="9" w:name="_Toc412647584"/>
      <w:bookmarkStart w:id="10" w:name="_Toc416271380"/>
      <w:bookmarkStart w:id="11" w:name="_Toc412647032"/>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27502"/>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9"/>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界首融华置业有限公司</w:t>
      </w:r>
    </w:p>
    <w:p w14:paraId="713C6373">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联系人：赵先生 </w:t>
      </w:r>
    </w:p>
    <w:p w14:paraId="6C3B32FD">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p w14:paraId="4519D6E9">
      <w:pPr>
        <w:pStyle w:val="19"/>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9"/>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68392380">
      <w:pPr>
        <w:pStyle w:val="8"/>
        <w:ind w:left="0" w:leftChars="0" w:firstLine="0" w:firstLineChars="0"/>
        <w:rPr>
          <w:rFonts w:hint="eastAsia"/>
        </w:rPr>
      </w:pPr>
    </w:p>
    <w:p w14:paraId="7F1047C7">
      <w:pPr>
        <w:rPr>
          <w:rFonts w:hint="eastAsia"/>
        </w:rPr>
      </w:pPr>
    </w:p>
    <w:p w14:paraId="32EA4D18">
      <w:pPr>
        <w:rPr>
          <w:rFonts w:hint="eastAsia"/>
        </w:rPr>
      </w:pPr>
    </w:p>
    <w:p w14:paraId="209D9812">
      <w:pPr>
        <w:pStyle w:val="8"/>
        <w:rPr>
          <w:rFonts w:hint="eastAsia"/>
        </w:rPr>
      </w:pPr>
    </w:p>
    <w:p w14:paraId="2C6DF63B">
      <w:pPr>
        <w:rPr>
          <w:rFonts w:hint="eastAsia"/>
        </w:rPr>
      </w:pPr>
    </w:p>
    <w:p w14:paraId="0203CAC0">
      <w:pPr>
        <w:rPr>
          <w:rFonts w:hint="eastAsia"/>
        </w:rPr>
      </w:pPr>
    </w:p>
    <w:p w14:paraId="6E06FFA8">
      <w:pPr>
        <w:rPr>
          <w:rFonts w:hint="eastAsia"/>
        </w:rPr>
      </w:pPr>
    </w:p>
    <w:p w14:paraId="5E58D7C8">
      <w:pPr>
        <w:rPr>
          <w:rFonts w:hint="eastAsia"/>
        </w:rPr>
      </w:pPr>
    </w:p>
    <w:p w14:paraId="153AE9C6">
      <w:pPr>
        <w:rPr>
          <w:rFonts w:hint="eastAsia"/>
        </w:rPr>
      </w:pPr>
    </w:p>
    <w:p w14:paraId="66C532BD">
      <w:pPr>
        <w:rPr>
          <w:rFonts w:hint="eastAsia"/>
        </w:rPr>
      </w:pPr>
    </w:p>
    <w:p w14:paraId="3EBC3D18">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29810"/>
      <w:r>
        <w:rPr>
          <w:rFonts w:hint="eastAsia" w:ascii="方正宋黑简体" w:hAnsi="宋体" w:eastAsia="方正宋黑简体" w:cs="黑体"/>
          <w:b/>
          <w:bCs/>
          <w:sz w:val="32"/>
          <w:szCs w:val="32"/>
        </w:rPr>
        <w:t>二、供应商须知前附表</w:t>
      </w:r>
      <w:bookmarkEnd w:id="3"/>
      <w:bookmarkEnd w:id="13"/>
    </w:p>
    <w:tbl>
      <w:tblPr>
        <w:tblStyle w:val="21"/>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4D8A999D">
            <w:pPr>
              <w:pStyle w:val="19"/>
              <w:shd w:val="clear" w:color="auto" w:fill="FFFFFF"/>
              <w:spacing w:before="0" w:beforeAutospacing="0" w:after="0" w:afterAutospacing="0" w:line="560" w:lineRule="exact"/>
              <w:jc w:val="both"/>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安徽融城高新技术产业发展集团有限公司2022-2024年度合并审计报告及2025年6月份合并报表服务项目</w:t>
            </w:r>
          </w:p>
          <w:p w14:paraId="2175A83E">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项目编号：AHWM-20250029</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采购人：界首融华置业有限公司</w:t>
            </w:r>
          </w:p>
          <w:p w14:paraId="19205942">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联系人：赵先生</w:t>
            </w:r>
          </w:p>
          <w:p w14:paraId="050F08E6">
            <w:pPr>
              <w:pStyle w:val="19"/>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话：19965898070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9"/>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150000.00元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采购人指定地点。</w:t>
            </w:r>
          </w:p>
          <w:p w14:paraId="12362FD7">
            <w:pPr>
              <w:numPr>
                <w:ilvl w:val="0"/>
                <w:numId w:val="0"/>
              </w:numPr>
              <w:spacing w:before="120" w:after="120" w:line="288" w:lineRule="auto"/>
              <w:jc w:val="left"/>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s="仿宋"/>
                <w:color w:val="auto"/>
                <w:sz w:val="28"/>
                <w:szCs w:val="28"/>
                <w:lang w:val="en-US" w:eastAsia="zh-CN"/>
              </w:rPr>
              <w:t>自合同签订之日起30个工作日内完成全部服务并提交正式成果文件。</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9"/>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9"/>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报价文件递交截止时间：2025年9月28日15时00分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3000.00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30793"/>
      <w:bookmarkStart w:id="15" w:name="_Toc466549686"/>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20235"/>
      <w:bookmarkStart w:id="17" w:name="_Toc46654968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10016"/>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16451"/>
      <w:r>
        <w:rPr>
          <w:rFonts w:hint="eastAsia" w:ascii="方正宋黑简体" w:hAnsi="宋体" w:eastAsia="方正宋黑简体" w:cs="黑体"/>
          <w:b/>
          <w:bCs/>
          <w:sz w:val="32"/>
          <w:szCs w:val="32"/>
        </w:rPr>
        <w:t>六、供应商须提供资格审查材料</w:t>
      </w:r>
      <w:bookmarkEnd w:id="20"/>
      <w:bookmarkEnd w:id="21"/>
    </w:p>
    <w:p w14:paraId="72BF2CBA">
      <w:pPr>
        <w:pStyle w:val="19"/>
        <w:shd w:val="clear" w:color="auto" w:fill="FFFFFF"/>
        <w:spacing w:before="0" w:beforeAutospacing="0" w:after="0" w:afterAutospacing="0" w:line="560" w:lineRule="exact"/>
        <w:jc w:val="both"/>
        <w:rPr>
          <w:rFonts w:hint="eastAsia" w:ascii="仿宋" w:hAnsi="仿宋" w:eastAsia="仿宋" w:cs="宋体"/>
          <w:b w:val="0"/>
          <w:bCs w:val="0"/>
          <w:color w:val="auto"/>
          <w:sz w:val="28"/>
          <w:szCs w:val="28"/>
          <w:lang w:eastAsia="zh-CN"/>
        </w:rPr>
      </w:pPr>
      <w:r>
        <w:rPr>
          <w:rFonts w:hint="eastAsia" w:ascii="仿宋" w:hAnsi="仿宋" w:eastAsia="仿宋" w:cs="宋体"/>
          <w:b w:val="0"/>
          <w:bCs w:val="0"/>
          <w:color w:val="auto"/>
          <w:sz w:val="28"/>
          <w:szCs w:val="28"/>
          <w:lang w:eastAsia="zh-CN"/>
        </w:rPr>
        <w:t>1、符合《中华人民共和国政府采购法》第二十二条要求；</w:t>
      </w:r>
    </w:p>
    <w:p w14:paraId="4A2C1F20">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w:t>
      </w:r>
      <w:r>
        <w:rPr>
          <w:rFonts w:ascii="仿宋" w:hAnsi="仿宋" w:eastAsia="仿宋" w:cs="仿宋"/>
          <w:i w:val="0"/>
          <w:iCs w:val="0"/>
          <w:caps w:val="0"/>
          <w:color w:val="000000"/>
          <w:spacing w:val="0"/>
          <w:sz w:val="28"/>
          <w:szCs w:val="28"/>
        </w:rPr>
        <w:t>供应商具有有效的会计师事务所执业资格证书</w:t>
      </w:r>
      <w:r>
        <w:rPr>
          <w:rFonts w:hint="eastAsia" w:ascii="仿宋" w:hAnsi="仿宋" w:eastAsia="仿宋" w:cs="仿宋"/>
          <w:i w:val="0"/>
          <w:iCs w:val="0"/>
          <w:caps w:val="0"/>
          <w:color w:val="333333"/>
          <w:spacing w:val="0"/>
          <w:sz w:val="28"/>
          <w:szCs w:val="28"/>
          <w:lang w:eastAsia="zh-CN"/>
        </w:rPr>
        <w:t>；</w:t>
      </w:r>
      <w:r>
        <w:rPr>
          <w:rFonts w:ascii="仿宋" w:hAnsi="仿宋" w:eastAsia="仿宋" w:cs="仿宋"/>
          <w:i w:val="0"/>
          <w:iCs w:val="0"/>
          <w:caps w:val="0"/>
          <w:color w:val="000000"/>
          <w:spacing w:val="0"/>
          <w:sz w:val="28"/>
          <w:szCs w:val="28"/>
        </w:rPr>
        <w:t>项目负责人具有注册会计师职业资格证书</w:t>
      </w:r>
      <w:r>
        <w:rPr>
          <w:rFonts w:hint="eastAsia" w:ascii="仿宋" w:hAnsi="仿宋" w:eastAsia="仿宋" w:cs="仿宋"/>
          <w:i w:val="0"/>
          <w:iCs w:val="0"/>
          <w:caps w:val="0"/>
          <w:color w:val="333333"/>
          <w:spacing w:val="0"/>
          <w:sz w:val="28"/>
          <w:szCs w:val="28"/>
          <w:lang w:val="en-US" w:eastAsia="zh-CN"/>
        </w:rPr>
        <w:t>；</w:t>
      </w:r>
    </w:p>
    <w:p w14:paraId="456816F5">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0568ACF7">
      <w:pPr>
        <w:rPr>
          <w:rFonts w:ascii="方正宋黑简体" w:hAnsi="宋体" w:eastAsia="方正宋黑简体" w:cs="黑体"/>
          <w:b/>
          <w:bCs/>
          <w:sz w:val="32"/>
          <w:szCs w:val="32"/>
        </w:rPr>
      </w:pPr>
    </w:p>
    <w:p w14:paraId="3B10E22F">
      <w:pPr>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364FED98">
      <w:pPr>
        <w:pStyle w:val="8"/>
        <w:ind w:left="0" w:leftChars="0" w:firstLine="0" w:firstLineChars="0"/>
        <w:rPr>
          <w:rFonts w:ascii="方正宋黑简体" w:hAnsi="宋体" w:eastAsia="方正宋黑简体" w:cs="黑体"/>
          <w:b/>
          <w:bCs/>
          <w:sz w:val="32"/>
          <w:szCs w:val="32"/>
        </w:rPr>
      </w:pPr>
    </w:p>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1627"/>
      <w:r>
        <w:rPr>
          <w:rFonts w:hint="eastAsia" w:ascii="方正宋黑简体" w:hAnsi="宋体" w:eastAsia="方正宋黑简体" w:cs="黑体"/>
          <w:b/>
          <w:bCs/>
          <w:sz w:val="32"/>
          <w:szCs w:val="32"/>
        </w:rPr>
        <w:t>采购需求</w:t>
      </w:r>
      <w:bookmarkEnd w:id="22"/>
      <w:bookmarkEnd w:id="23"/>
      <w:bookmarkStart w:id="24" w:name="_Toc466549691"/>
    </w:p>
    <w:p w14:paraId="54BC568F">
      <w:pPr>
        <w:spacing w:before="320" w:after="120" w:line="288" w:lineRule="auto"/>
        <w:ind w:left="0"/>
        <w:jc w:val="left"/>
        <w:outlineLvl w:val="1"/>
        <w:rPr>
          <w:rFonts w:hint="eastAsia" w:ascii="仿宋" w:hAnsi="仿宋" w:eastAsia="仿宋" w:cs="仿宋"/>
          <w:sz w:val="28"/>
          <w:szCs w:val="28"/>
        </w:rPr>
      </w:pPr>
      <w:bookmarkStart w:id="25" w:name="heading_8"/>
      <w:r>
        <w:rPr>
          <w:rFonts w:hint="eastAsia" w:ascii="仿宋" w:hAnsi="仿宋" w:eastAsia="仿宋" w:cs="仿宋"/>
          <w:b/>
          <w:sz w:val="28"/>
          <w:szCs w:val="28"/>
        </w:rPr>
        <w:t>一、服务范围</w:t>
      </w:r>
      <w:bookmarkEnd w:id="25"/>
    </w:p>
    <w:p w14:paraId="068DFAB9">
      <w:pPr>
        <w:numPr>
          <w:ilvl w:val="0"/>
          <w:numId w:val="0"/>
        </w:numPr>
        <w:spacing w:before="320" w:after="120" w:line="288" w:lineRule="auto"/>
        <w:ind w:firstLine="560" w:firstLineChars="200"/>
        <w:jc w:val="left"/>
        <w:outlineLvl w:val="1"/>
        <w:rPr>
          <w:rFonts w:hint="eastAsia" w:ascii="仿宋" w:hAnsi="仿宋" w:eastAsia="仿宋" w:cs="仿宋"/>
          <w:sz w:val="28"/>
          <w:szCs w:val="28"/>
        </w:rPr>
      </w:pPr>
      <w:r>
        <w:rPr>
          <w:rFonts w:hint="eastAsia" w:ascii="仿宋" w:hAnsi="仿宋" w:eastAsia="仿宋" w:cs="仿宋"/>
          <w:sz w:val="28"/>
          <w:szCs w:val="28"/>
        </w:rPr>
        <w:t>以融城集团及其范围内全部子公司</w:t>
      </w:r>
      <w:r>
        <w:rPr>
          <w:rFonts w:hint="eastAsia" w:ascii="仿宋" w:hAnsi="仿宋" w:eastAsia="仿宋" w:cs="仿宋"/>
          <w:sz w:val="28"/>
          <w:szCs w:val="28"/>
          <w:lang w:val="en-US" w:eastAsia="zh-CN"/>
        </w:rPr>
        <w:t>为</w:t>
      </w:r>
      <w:r>
        <w:rPr>
          <w:rFonts w:hint="eastAsia" w:ascii="仿宋" w:hAnsi="仿宋" w:eastAsia="仿宋" w:cs="仿宋"/>
          <w:sz w:val="28"/>
          <w:szCs w:val="28"/>
        </w:rPr>
        <w:t>主体编制</w:t>
      </w:r>
      <w:r>
        <w:rPr>
          <w:rFonts w:hint="eastAsia" w:ascii="仿宋" w:hAnsi="仿宋" w:eastAsia="仿宋" w:cs="仿宋"/>
          <w:sz w:val="28"/>
          <w:szCs w:val="28"/>
          <w:lang w:val="en-US" w:eastAsia="zh-CN"/>
        </w:rPr>
        <w:t>连续三个年度的合并审计报告</w:t>
      </w:r>
      <w:r>
        <w:rPr>
          <w:rFonts w:hint="eastAsia" w:ascii="仿宋" w:hAnsi="仿宋" w:eastAsia="仿宋" w:cs="仿宋"/>
          <w:sz w:val="28"/>
          <w:szCs w:val="28"/>
        </w:rPr>
        <w:t>，涵盖2022-2024三个完整会计年度的合并财务审计，以及2025年6月的合并财务报表编制。</w:t>
      </w:r>
    </w:p>
    <w:p w14:paraId="5587B26F">
      <w:pPr>
        <w:numPr>
          <w:ilvl w:val="0"/>
          <w:numId w:val="2"/>
        </w:numPr>
        <w:spacing w:before="320" w:after="120" w:line="288" w:lineRule="auto"/>
        <w:ind w:left="562" w:hanging="562" w:hangingChars="200"/>
        <w:jc w:val="left"/>
        <w:outlineLvl w:val="1"/>
        <w:rPr>
          <w:rFonts w:hint="eastAsia" w:ascii="仿宋" w:hAnsi="仿宋" w:eastAsia="仿宋" w:cs="仿宋"/>
          <w:sz w:val="28"/>
          <w:szCs w:val="28"/>
        </w:rPr>
      </w:pPr>
      <w:r>
        <w:rPr>
          <w:rFonts w:hint="eastAsia" w:ascii="仿宋" w:hAnsi="仿宋" w:eastAsia="仿宋" w:cs="仿宋"/>
          <w:b/>
          <w:sz w:val="28"/>
          <w:szCs w:val="28"/>
        </w:rPr>
        <w:t>审计报告要求</w:t>
      </w:r>
    </w:p>
    <w:p w14:paraId="43BB50B6">
      <w:pPr>
        <w:numPr>
          <w:ilvl w:val="0"/>
          <w:numId w:val="0"/>
        </w:numPr>
        <w:spacing w:before="320" w:after="120" w:line="288" w:lineRule="auto"/>
        <w:ind w:firstLine="560" w:firstLineChars="200"/>
        <w:jc w:val="left"/>
        <w:outlineLvl w:val="1"/>
        <w:rPr>
          <w:rFonts w:hint="eastAsia" w:ascii="仿宋" w:hAnsi="仿宋" w:eastAsia="仿宋" w:cs="仿宋"/>
          <w:sz w:val="28"/>
          <w:szCs w:val="28"/>
        </w:rPr>
      </w:pPr>
      <w:r>
        <w:rPr>
          <w:rFonts w:hint="eastAsia" w:ascii="仿宋" w:hAnsi="仿宋" w:eastAsia="仿宋" w:cs="仿宋"/>
          <w:sz w:val="28"/>
          <w:szCs w:val="28"/>
        </w:rPr>
        <w:t>严格遵循《企业会计准则》《中国注册会计师审计准则》等相关法规，审计程序完整、证据充分；</w:t>
      </w:r>
    </w:p>
    <w:p w14:paraId="61F1FF46">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审计报告需为标准无保留意见（若出具非标准意见需提前与采购人沟通并说明理由）；</w:t>
      </w:r>
    </w:p>
    <w:p w14:paraId="5F56A0F1">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审计报告内容需包括审计意见、财务报表（资产负债表、利润表、现金流量表、所有者权益变动表）及附注，数据真实、准确、完整，能够清晰反映融城集团合并财务状况、经营成果及现金流量。</w:t>
      </w:r>
    </w:p>
    <w:p w14:paraId="67F19764">
      <w:pPr>
        <w:numPr>
          <w:ilvl w:val="0"/>
          <w:numId w:val="0"/>
        </w:numPr>
        <w:spacing w:before="120" w:after="120" w:line="288" w:lineRule="auto"/>
        <w:ind w:left="562" w:hanging="562" w:hangingChars="200"/>
        <w:jc w:val="left"/>
        <w:rPr>
          <w:rFonts w:hint="eastAsia" w:ascii="仿宋" w:hAnsi="仿宋" w:eastAsia="仿宋" w:cs="仿宋"/>
          <w:sz w:val="28"/>
          <w:szCs w:val="28"/>
        </w:rPr>
      </w:pPr>
      <w:r>
        <w:rPr>
          <w:rFonts w:hint="eastAsia" w:ascii="仿宋" w:hAnsi="仿宋" w:eastAsia="仿宋" w:cs="仿宋"/>
          <w:b/>
          <w:sz w:val="28"/>
          <w:szCs w:val="28"/>
        </w:rPr>
        <w:t>合并报表要求</w:t>
      </w:r>
      <w:r>
        <w:rPr>
          <w:rFonts w:hint="eastAsia" w:ascii="仿宋" w:hAnsi="仿宋" w:eastAsia="仿宋" w:cs="仿宋"/>
          <w:sz w:val="28"/>
          <w:szCs w:val="28"/>
        </w:rPr>
        <w:t>：</w:t>
      </w:r>
    </w:p>
    <w:p w14:paraId="34B349A3">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遵循《企业会计准则第33号——合并财务报表》等相关规定，合并范围完整，抵销分录准确；</w:t>
      </w:r>
    </w:p>
    <w:p w14:paraId="3D5C6A71">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报表内容包括资产负债表、利润表、现金流量表、所有者权益变动表及附注，格式规范，数据与审计报告相关数据衔接一致；</w:t>
      </w:r>
    </w:p>
    <w:p w14:paraId="2094B71E">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报表需经项目负责人及供应商负责人签字并加盖会计师事务所公章。</w:t>
      </w:r>
    </w:p>
    <w:p w14:paraId="57DA7F00">
      <w:pPr>
        <w:numPr>
          <w:ilvl w:val="0"/>
          <w:numId w:val="0"/>
        </w:numPr>
        <w:spacing w:before="120" w:after="120" w:line="288" w:lineRule="auto"/>
        <w:ind w:left="281" w:hanging="281" w:hangingChars="100"/>
        <w:jc w:val="left"/>
        <w:rPr>
          <w:rFonts w:hint="eastAsia" w:ascii="仿宋" w:hAnsi="仿宋" w:eastAsia="仿宋" w:cs="仿宋"/>
          <w:sz w:val="28"/>
          <w:szCs w:val="28"/>
        </w:rPr>
      </w:pPr>
      <w:r>
        <w:rPr>
          <w:rFonts w:hint="eastAsia" w:ascii="仿宋" w:hAnsi="仿宋" w:eastAsia="仿宋" w:cs="仿宋"/>
          <w:b/>
          <w:sz w:val="28"/>
          <w:szCs w:val="28"/>
        </w:rPr>
        <w:t>服务过程要求</w:t>
      </w:r>
      <w:r>
        <w:rPr>
          <w:rFonts w:hint="eastAsia" w:ascii="仿宋" w:hAnsi="仿宋" w:eastAsia="仿宋" w:cs="仿宋"/>
          <w:sz w:val="28"/>
          <w:szCs w:val="28"/>
        </w:rPr>
        <w:t>：</w:t>
      </w:r>
    </w:p>
    <w:p w14:paraId="71E2CD16">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供应商需指定专人负责与采购人及融城集团的沟通对接，及时反馈服务进展；</w:t>
      </w:r>
    </w:p>
    <w:p w14:paraId="37918758">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服务过程中需严格遵守保密协议，对获取的融城集团财务数据、经营信息及项目相关资料承担保密责任，未经采购人同意不得向任何第三方泄露；</w:t>
      </w:r>
    </w:p>
    <w:p w14:paraId="3D7E7E76">
      <w:pPr>
        <w:numPr>
          <w:ilvl w:val="0"/>
          <w:numId w:val="0"/>
        </w:numPr>
        <w:spacing w:before="120" w:after="120" w:line="288"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配合采购人后续工作，提供必要的补充说明及资料。</w:t>
      </w:r>
    </w:p>
    <w:p w14:paraId="6C3AF388">
      <w:pPr>
        <w:spacing w:before="320" w:after="120" w:line="288" w:lineRule="auto"/>
        <w:ind w:left="0"/>
        <w:jc w:val="left"/>
        <w:outlineLvl w:val="1"/>
        <w:rPr>
          <w:rFonts w:hint="eastAsia" w:ascii="仿宋" w:hAnsi="仿宋" w:eastAsia="仿宋" w:cs="仿宋"/>
          <w:sz w:val="28"/>
          <w:szCs w:val="28"/>
        </w:rPr>
      </w:pPr>
      <w:bookmarkStart w:id="26" w:name="heading_10"/>
      <w:r>
        <w:rPr>
          <w:rFonts w:hint="eastAsia" w:ascii="仿宋" w:hAnsi="仿宋" w:eastAsia="仿宋" w:cs="仿宋"/>
          <w:b/>
          <w:sz w:val="28"/>
          <w:szCs w:val="28"/>
        </w:rPr>
        <w:t>三、成果交付</w:t>
      </w:r>
      <w:bookmarkEnd w:id="26"/>
    </w:p>
    <w:p w14:paraId="1D8EBA25">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1. 交付成果：正式审计报告（正本1份、副本4份）、2025年6月合并财务报表（正本1份、副本4份），同时提供电子版（PDF格式及Excel格式，U盘存储）；</w:t>
      </w:r>
    </w:p>
    <w:p w14:paraId="3B85C043">
      <w:pPr>
        <w:spacing w:before="120" w:after="120" w:line="288" w:lineRule="auto"/>
        <w:ind w:left="0"/>
        <w:jc w:val="left"/>
        <w:rPr>
          <w:rFonts w:hint="eastAsia" w:ascii="仿宋" w:hAnsi="仿宋" w:eastAsia="仿宋" w:cs="仿宋"/>
          <w:sz w:val="28"/>
          <w:szCs w:val="28"/>
        </w:rPr>
      </w:pPr>
      <w:r>
        <w:rPr>
          <w:rFonts w:hint="eastAsia" w:ascii="仿宋" w:hAnsi="仿宋" w:eastAsia="仿宋" w:cs="仿宋"/>
          <w:sz w:val="28"/>
          <w:szCs w:val="28"/>
        </w:rPr>
        <w:t>2. 交付时间：自合同签订之日起30个工作日内；</w:t>
      </w:r>
    </w:p>
    <w:p w14:paraId="2CC62755">
      <w:pPr>
        <w:spacing w:line="480" w:lineRule="auto"/>
        <w:rPr>
          <w:rFonts w:hint="eastAsia" w:ascii="仿宋" w:hAnsi="仿宋" w:eastAsia="仿宋" w:cs="仿宋"/>
          <w:sz w:val="28"/>
          <w:szCs w:val="28"/>
        </w:rPr>
      </w:pPr>
      <w:r>
        <w:rPr>
          <w:rFonts w:hint="eastAsia" w:ascii="仿宋" w:hAnsi="仿宋" w:eastAsia="仿宋" w:cs="仿宋"/>
          <w:sz w:val="28"/>
          <w:szCs w:val="28"/>
        </w:rPr>
        <w:t>3. 交付方式：现场递交，成果文件需加盖供应商公章并由项目负责人签字确认</w:t>
      </w:r>
    </w:p>
    <w:p w14:paraId="3AF0EE0E">
      <w:pPr>
        <w:spacing w:line="480" w:lineRule="auto"/>
        <w:rPr>
          <w:rFonts w:hint="eastAsia" w:ascii="宋体" w:hAnsi="宋体" w:eastAsia="宋体" w:cs="Times New Roman"/>
          <w:color w:val="auto"/>
          <w:sz w:val="24"/>
          <w:szCs w:val="24"/>
          <w:lang w:val="en-US" w:eastAsia="zh-CN"/>
        </w:rPr>
      </w:pPr>
      <w:r>
        <w:rPr>
          <w:rFonts w:hint="eastAsia" w:ascii="仿宋" w:hAnsi="仿宋" w:eastAsia="仿宋" w:cs="仿宋"/>
          <w:b/>
          <w:bCs w:val="0"/>
          <w:color w:val="auto"/>
          <w:sz w:val="28"/>
          <w:szCs w:val="28"/>
          <w:lang w:val="en-US" w:eastAsia="zh-CN"/>
        </w:rPr>
        <w:t>四、报价要求：</w:t>
      </w:r>
      <w:r>
        <w:rPr>
          <w:rFonts w:hint="eastAsia" w:ascii="仿宋" w:hAnsi="仿宋" w:eastAsia="仿宋" w:cs="仿宋"/>
          <w:color w:val="auto"/>
          <w:sz w:val="28"/>
          <w:szCs w:val="28"/>
          <w:lang w:val="en-US" w:eastAsia="zh-CN"/>
        </w:rPr>
        <w:t>本项目固定总价报价，报价包含完成本项目所产生的一切费用，采购人后期不再追加任何费用，供应商报价时应综合考虑报价风险。</w:t>
      </w:r>
    </w:p>
    <w:bookmarkEnd w:id="24"/>
    <w:p w14:paraId="5088CC8A">
      <w:pPr>
        <w:rPr>
          <w:rFonts w:hint="eastAsia"/>
        </w:rPr>
      </w:pPr>
      <w:bookmarkStart w:id="27" w:name="_Toc466549692"/>
    </w:p>
    <w:p w14:paraId="7AB7466A">
      <w:pPr>
        <w:pStyle w:val="8"/>
        <w:rPr>
          <w:rFonts w:hint="eastAsia"/>
        </w:rPr>
      </w:pPr>
    </w:p>
    <w:p w14:paraId="2855DE5C">
      <w:pPr>
        <w:rPr>
          <w:rFonts w:hint="eastAsia"/>
        </w:rPr>
      </w:pPr>
    </w:p>
    <w:p w14:paraId="555F8E7B">
      <w:pPr>
        <w:rPr>
          <w:rFonts w:hint="eastAsia"/>
        </w:rPr>
      </w:pPr>
    </w:p>
    <w:p w14:paraId="4126A21E">
      <w:pPr>
        <w:rPr>
          <w:rFonts w:hint="eastAsia"/>
        </w:rPr>
      </w:pPr>
    </w:p>
    <w:p w14:paraId="561123E6">
      <w:pPr>
        <w:rPr>
          <w:rFonts w:hint="eastAsia"/>
        </w:rPr>
      </w:pPr>
    </w:p>
    <w:p w14:paraId="68E1110C">
      <w:pPr>
        <w:rPr>
          <w:rFonts w:hint="eastAsia"/>
        </w:rPr>
      </w:pPr>
    </w:p>
    <w:p w14:paraId="39708994">
      <w:pPr>
        <w:rPr>
          <w:rFonts w:hint="eastAsia"/>
        </w:rPr>
      </w:pPr>
    </w:p>
    <w:p w14:paraId="489A6514">
      <w:pPr>
        <w:rPr>
          <w:rFonts w:hint="eastAsia"/>
        </w:rPr>
      </w:pPr>
    </w:p>
    <w:p w14:paraId="0A27F62E">
      <w:pPr>
        <w:rPr>
          <w:rFonts w:hint="eastAsia"/>
        </w:rPr>
      </w:pPr>
    </w:p>
    <w:p w14:paraId="6D6A0B60">
      <w:pPr>
        <w:rPr>
          <w:rFonts w:hint="eastAsia"/>
        </w:rPr>
      </w:pPr>
    </w:p>
    <w:p w14:paraId="2115F71E">
      <w:pPr>
        <w:rPr>
          <w:rFonts w:hint="eastAsia"/>
        </w:rPr>
      </w:pPr>
    </w:p>
    <w:p w14:paraId="4609C0CE">
      <w:pPr>
        <w:rPr>
          <w:rFonts w:hint="eastAsia"/>
        </w:rPr>
      </w:pPr>
    </w:p>
    <w:p w14:paraId="6EDA3940">
      <w:pPr>
        <w:rPr>
          <w:rFonts w:hint="eastAsia"/>
        </w:rPr>
      </w:pPr>
    </w:p>
    <w:p w14:paraId="08072974">
      <w:pPr>
        <w:rPr>
          <w:rFonts w:hint="eastAsia"/>
        </w:rPr>
      </w:pPr>
    </w:p>
    <w:p w14:paraId="267FC5CE">
      <w:pPr>
        <w:rPr>
          <w:rFonts w:hint="eastAsia"/>
        </w:rPr>
      </w:pPr>
    </w:p>
    <w:p w14:paraId="6AC2C5A8">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8" w:name="_Toc9773"/>
      <w:r>
        <w:rPr>
          <w:rFonts w:hint="eastAsia" w:ascii="方正宋黑简体" w:hAnsi="宋体" w:eastAsia="方正宋黑简体" w:cs="黑体"/>
          <w:b/>
          <w:bCs/>
          <w:color w:val="auto"/>
          <w:sz w:val="32"/>
          <w:szCs w:val="32"/>
        </w:rPr>
        <w:t>八、合同格式</w:t>
      </w:r>
      <w:bookmarkEnd w:id="28"/>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29" w:name="_Toc32103"/>
      <w:r>
        <w:t>第一部分 合同书</w:t>
      </w:r>
      <w:bookmarkEnd w:id="29"/>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3"/>
        </w:numPr>
        <w:tabs>
          <w:tab w:val="left" w:pos="1110"/>
        </w:tabs>
        <w:spacing w:before="2" w:line="360" w:lineRule="auto"/>
        <w:rPr>
          <w:sz w:val="21"/>
          <w:szCs w:val="21"/>
        </w:rPr>
      </w:pPr>
      <w:bookmarkStart w:id="30" w:name="_Toc27817"/>
      <w:r>
        <w:rPr>
          <w:sz w:val="21"/>
          <w:szCs w:val="21"/>
        </w:rPr>
        <w:t>合同组成部分</w:t>
      </w:r>
      <w:bookmarkEnd w:id="30"/>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5"/>
        <w:numPr>
          <w:ilvl w:val="2"/>
          <w:numId w:val="3"/>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5"/>
        <w:numPr>
          <w:ilvl w:val="2"/>
          <w:numId w:val="3"/>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5"/>
        <w:numPr>
          <w:ilvl w:val="2"/>
          <w:numId w:val="3"/>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5"/>
        <w:numPr>
          <w:ilvl w:val="2"/>
          <w:numId w:val="3"/>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5"/>
        <w:numPr>
          <w:ilvl w:val="2"/>
          <w:numId w:val="3"/>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3"/>
        </w:numPr>
        <w:tabs>
          <w:tab w:val="left" w:pos="1110"/>
        </w:tabs>
        <w:spacing w:before="161" w:line="360" w:lineRule="auto"/>
        <w:rPr>
          <w:sz w:val="21"/>
          <w:szCs w:val="21"/>
        </w:rPr>
      </w:pPr>
      <w:bookmarkStart w:id="31" w:name="_Toc21439"/>
      <w:r>
        <w:rPr>
          <w:sz w:val="21"/>
          <w:szCs w:val="21"/>
        </w:rPr>
        <w:t>服务</w:t>
      </w:r>
      <w:bookmarkEnd w:id="31"/>
    </w:p>
    <w:p w14:paraId="129A0541">
      <w:pPr>
        <w:pStyle w:val="45"/>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5"/>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5"/>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3"/>
        </w:numPr>
        <w:tabs>
          <w:tab w:val="left" w:pos="1110"/>
        </w:tabs>
        <w:spacing w:before="161" w:line="360" w:lineRule="auto"/>
        <w:rPr>
          <w:sz w:val="21"/>
          <w:szCs w:val="21"/>
        </w:rPr>
      </w:pPr>
      <w:bookmarkStart w:id="32" w:name="_Toc1240"/>
      <w:r>
        <w:rPr>
          <w:sz w:val="21"/>
          <w:szCs w:val="21"/>
        </w:rPr>
        <w:t>价款</w:t>
      </w:r>
      <w:bookmarkEnd w:id="32"/>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2"/>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2"/>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2"/>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2"/>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2"/>
              <w:rPr>
                <w:rFonts w:ascii="Times New Roman"/>
                <w:lang w:eastAsia="en-US"/>
              </w:rPr>
            </w:pPr>
          </w:p>
        </w:tc>
        <w:tc>
          <w:tcPr>
            <w:tcW w:w="3490" w:type="dxa"/>
            <w:shd w:val="clear" w:color="auto" w:fill="auto"/>
            <w:noWrap w:val="0"/>
            <w:vAlign w:val="top"/>
          </w:tcPr>
          <w:p w14:paraId="3060808C">
            <w:pPr>
              <w:pStyle w:val="52"/>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2"/>
              <w:ind w:left="19"/>
              <w:jc w:val="center"/>
              <w:rPr>
                <w:sz w:val="24"/>
                <w:lang w:eastAsia="en-US"/>
              </w:rPr>
            </w:pPr>
            <w:r>
              <w:rPr>
                <w:sz w:val="24"/>
                <w:lang w:eastAsia="en-US"/>
              </w:rPr>
              <w:t>2</w:t>
            </w:r>
          </w:p>
        </w:tc>
        <w:tc>
          <w:tcPr>
            <w:tcW w:w="4657" w:type="dxa"/>
            <w:shd w:val="clear" w:color="auto" w:fill="auto"/>
            <w:noWrap w:val="0"/>
            <w:vAlign w:val="top"/>
          </w:tcPr>
          <w:p w14:paraId="2AB70EBC">
            <w:pPr>
              <w:pStyle w:val="52"/>
              <w:rPr>
                <w:rFonts w:ascii="Times New Roman"/>
                <w:lang w:eastAsia="en-US"/>
              </w:rPr>
            </w:pPr>
          </w:p>
        </w:tc>
        <w:tc>
          <w:tcPr>
            <w:tcW w:w="3490" w:type="dxa"/>
            <w:shd w:val="clear" w:color="auto" w:fill="auto"/>
            <w:noWrap w:val="0"/>
            <w:vAlign w:val="top"/>
          </w:tcPr>
          <w:p w14:paraId="4C8CD17A">
            <w:pPr>
              <w:pStyle w:val="52"/>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2"/>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2"/>
              <w:rPr>
                <w:rFonts w:ascii="Times New Roman"/>
                <w:lang w:eastAsia="en-US"/>
              </w:rPr>
            </w:pPr>
          </w:p>
        </w:tc>
        <w:tc>
          <w:tcPr>
            <w:tcW w:w="3490" w:type="dxa"/>
            <w:shd w:val="clear" w:color="auto" w:fill="auto"/>
            <w:noWrap w:val="0"/>
            <w:vAlign w:val="top"/>
          </w:tcPr>
          <w:p w14:paraId="780D1E57">
            <w:pPr>
              <w:pStyle w:val="52"/>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2"/>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2"/>
              <w:rPr>
                <w:rFonts w:ascii="Times New Roman"/>
                <w:lang w:eastAsia="en-US"/>
              </w:rPr>
            </w:pPr>
          </w:p>
        </w:tc>
        <w:tc>
          <w:tcPr>
            <w:tcW w:w="3490" w:type="dxa"/>
            <w:shd w:val="clear" w:color="auto" w:fill="auto"/>
            <w:noWrap w:val="0"/>
            <w:vAlign w:val="top"/>
          </w:tcPr>
          <w:p w14:paraId="24C57236">
            <w:pPr>
              <w:pStyle w:val="52"/>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2"/>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2"/>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3"/>
        </w:numPr>
        <w:tabs>
          <w:tab w:val="left" w:pos="1110"/>
        </w:tabs>
        <w:spacing w:line="360" w:lineRule="auto"/>
        <w:rPr>
          <w:sz w:val="21"/>
          <w:szCs w:val="21"/>
        </w:rPr>
      </w:pPr>
      <w:bookmarkStart w:id="33" w:name="_Toc28590"/>
      <w:r>
        <w:rPr>
          <w:sz w:val="21"/>
          <w:szCs w:val="21"/>
        </w:rPr>
        <w:t>付款方式和发票开具方式</w:t>
      </w:r>
      <w:bookmarkEnd w:id="33"/>
    </w:p>
    <w:p w14:paraId="66792B47">
      <w:pPr>
        <w:spacing w:line="360" w:lineRule="auto"/>
        <w:ind w:firstLine="420" w:firstLineChars="2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服务期结束，经采购人验收合格后，一次性付清</w:t>
      </w:r>
      <w:r>
        <w:rPr>
          <w:rFonts w:hint="eastAsia" w:ascii="宋体" w:hAnsi="宋体" w:eastAsia="宋体" w:cs="宋体"/>
          <w:b w:val="0"/>
          <w:color w:val="auto"/>
          <w:sz w:val="24"/>
          <w:szCs w:val="24"/>
          <w:highlight w:val="none"/>
        </w:rPr>
        <w:t>。</w:t>
      </w:r>
    </w:p>
    <w:p w14:paraId="77C13E51">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3"/>
        </w:numPr>
        <w:tabs>
          <w:tab w:val="left" w:pos="1110"/>
        </w:tabs>
        <w:spacing w:before="104" w:line="360" w:lineRule="auto"/>
        <w:rPr>
          <w:color w:val="auto"/>
          <w:sz w:val="21"/>
          <w:szCs w:val="21"/>
        </w:rPr>
      </w:pPr>
      <w:bookmarkStart w:id="34" w:name="_Toc24892"/>
      <w:r>
        <w:rPr>
          <w:color w:val="auto"/>
          <w:sz w:val="21"/>
          <w:szCs w:val="21"/>
        </w:rPr>
        <w:t>服务期限、地点和方式</w:t>
      </w:r>
      <w:bookmarkEnd w:id="34"/>
    </w:p>
    <w:p w14:paraId="2DB73264">
      <w:pPr>
        <w:pStyle w:val="45"/>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自合同签订之日起30个工作日内完成全部服务并提交正式成果文件</w:t>
      </w:r>
      <w:r>
        <w:rPr>
          <w:color w:val="auto"/>
          <w:sz w:val="21"/>
          <w:szCs w:val="21"/>
        </w:rPr>
        <w:t>；</w:t>
      </w:r>
    </w:p>
    <w:p w14:paraId="7515E475">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5"/>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3"/>
        </w:numPr>
        <w:tabs>
          <w:tab w:val="left" w:pos="1110"/>
        </w:tabs>
        <w:spacing w:before="161" w:line="360" w:lineRule="auto"/>
        <w:jc w:val="both"/>
        <w:rPr>
          <w:sz w:val="21"/>
          <w:szCs w:val="21"/>
        </w:rPr>
      </w:pPr>
      <w:bookmarkStart w:id="35" w:name="_Toc12564"/>
      <w:r>
        <w:rPr>
          <w:sz w:val="21"/>
          <w:szCs w:val="21"/>
        </w:rPr>
        <w:t>违约责任</w:t>
      </w:r>
      <w:bookmarkEnd w:id="35"/>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3"/>
        </w:numPr>
        <w:tabs>
          <w:tab w:val="left" w:pos="1110"/>
        </w:tabs>
        <w:spacing w:before="160" w:line="360" w:lineRule="auto"/>
        <w:rPr>
          <w:sz w:val="21"/>
          <w:szCs w:val="21"/>
        </w:rPr>
      </w:pPr>
      <w:bookmarkStart w:id="36" w:name="_Toc25587"/>
      <w:r>
        <w:rPr>
          <w:sz w:val="21"/>
          <w:szCs w:val="21"/>
        </w:rPr>
        <w:t>合同争议的解决</w:t>
      </w:r>
      <w:bookmarkEnd w:id="36"/>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3"/>
        </w:numPr>
        <w:tabs>
          <w:tab w:val="left" w:pos="1110"/>
        </w:tabs>
        <w:spacing w:before="160" w:line="360" w:lineRule="auto"/>
        <w:rPr>
          <w:sz w:val="21"/>
          <w:szCs w:val="21"/>
        </w:rPr>
      </w:pPr>
      <w:bookmarkStart w:id="37" w:name="_Toc29780"/>
      <w:r>
        <w:rPr>
          <w:sz w:val="21"/>
          <w:szCs w:val="21"/>
        </w:rPr>
        <w:t>合同生效</w:t>
      </w:r>
      <w:bookmarkEnd w:id="37"/>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38" w:name="_Toc22440"/>
      <w:r>
        <w:rPr>
          <w:rFonts w:hint="eastAsia" w:ascii="方正宋黑简体" w:hAnsi="宋体" w:eastAsia="方正宋黑简体" w:cs="黑体"/>
          <w:b/>
          <w:bCs/>
          <w:sz w:val="48"/>
          <w:szCs w:val="48"/>
        </w:rPr>
        <w:t>第二章  报价文件</w:t>
      </w:r>
      <w:bookmarkEnd w:id="27"/>
      <w:bookmarkEnd w:id="38"/>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39" w:name="_Toc466549693"/>
    </w:p>
    <w:p w14:paraId="79ECE926">
      <w:pPr>
        <w:spacing w:line="420" w:lineRule="exact"/>
        <w:jc w:val="center"/>
        <w:outlineLvl w:val="1"/>
        <w:rPr>
          <w:rFonts w:ascii="方正宋黑简体" w:hAnsi="宋体" w:eastAsia="方正宋黑简体" w:cs="黑体"/>
          <w:b/>
          <w:bCs/>
          <w:sz w:val="32"/>
          <w:szCs w:val="32"/>
        </w:rPr>
      </w:pPr>
      <w:bookmarkStart w:id="40" w:name="_Toc498"/>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9"/>
      <w:bookmarkEnd w:id="40"/>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41" w:name="_Toc4402"/>
      <w:bookmarkStart w:id="42" w:name="_Toc466549694"/>
      <w:r>
        <w:rPr>
          <w:rFonts w:hint="eastAsia" w:ascii="方正宋黑简体" w:hAnsi="宋体" w:eastAsia="方正宋黑简体" w:cs="黑体"/>
          <w:b/>
          <w:bCs/>
          <w:sz w:val="32"/>
          <w:szCs w:val="32"/>
        </w:rPr>
        <w:t>二、报价函格式</w:t>
      </w:r>
      <w:bookmarkEnd w:id="41"/>
      <w:bookmarkEnd w:id="42"/>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4"/>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项目负责人：</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43" w:name="_Toc22600"/>
      <w:bookmarkStart w:id="44" w:name="_Toc466549695"/>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43"/>
      <w:bookmarkEnd w:id="44"/>
    </w:p>
    <w:p w14:paraId="2B7D9F27">
      <w:pPr>
        <w:spacing w:line="360" w:lineRule="auto"/>
        <w:ind w:firstLine="560" w:firstLineChars="200"/>
        <w:rPr>
          <w:rFonts w:hint="eastAsia" w:ascii="仿宋" w:hAnsi="仿宋" w:eastAsia="仿宋" w:cs="Arial"/>
          <w:sz w:val="28"/>
          <w:szCs w:val="28"/>
        </w:rPr>
      </w:pPr>
      <w:bookmarkStart w:id="45"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45"/>
    </w:p>
    <w:p w14:paraId="4F259EFB">
      <w:pPr>
        <w:pStyle w:val="8"/>
        <w:numPr>
          <w:ilvl w:val="0"/>
          <w:numId w:val="0"/>
        </w:numPr>
        <w:rPr>
          <w:rFonts w:hint="default"/>
          <w:lang w:val="en-US" w:eastAsia="zh-CN"/>
        </w:rPr>
      </w:pPr>
    </w:p>
    <w:p w14:paraId="34A48CF9">
      <w:pPr>
        <w:pStyle w:val="5"/>
        <w:numPr>
          <w:ilvl w:val="0"/>
          <w:numId w:val="5"/>
        </w:numPr>
        <w:spacing w:before="71"/>
        <w:ind w:left="2359" w:right="3243"/>
        <w:jc w:val="center"/>
        <w:outlineLvl w:val="1"/>
        <w:rPr>
          <w:rFonts w:hint="default" w:ascii="宋体" w:hAnsi="宋体" w:eastAsia="宋体" w:cs="宋体"/>
          <w:sz w:val="32"/>
          <w:szCs w:val="32"/>
          <w:lang w:val="en-US" w:eastAsia="zh-CN"/>
        </w:rPr>
      </w:pPr>
      <w:bookmarkStart w:id="46" w:name="_Toc1782"/>
      <w:r>
        <w:rPr>
          <w:rFonts w:hint="eastAsia" w:ascii="宋体" w:hAnsi="宋体" w:eastAsia="宋体" w:cs="宋体"/>
          <w:sz w:val="32"/>
          <w:szCs w:val="32"/>
          <w:lang w:val="en-US" w:eastAsia="zh-CN"/>
        </w:rPr>
        <w:t>人员配置</w:t>
      </w:r>
      <w:bookmarkEnd w:id="46"/>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13103A52">
      <w:pPr>
        <w:pStyle w:val="8"/>
        <w:numPr>
          <w:ilvl w:val="0"/>
          <w:numId w:val="0"/>
        </w:numPr>
        <w:rPr>
          <w:rFonts w:hint="default"/>
          <w:lang w:val="en-US" w:eastAsia="zh-CN"/>
        </w:rPr>
      </w:pPr>
    </w:p>
    <w:p w14:paraId="2265C735">
      <w:pPr>
        <w:pStyle w:val="5"/>
        <w:numPr>
          <w:ilvl w:val="0"/>
          <w:numId w:val="5"/>
        </w:numPr>
        <w:spacing w:before="71"/>
        <w:ind w:left="2359" w:right="3243"/>
        <w:jc w:val="center"/>
        <w:outlineLvl w:val="1"/>
        <w:rPr>
          <w:rFonts w:hint="default" w:ascii="宋体" w:hAnsi="宋体" w:eastAsia="宋体" w:cs="宋体"/>
          <w:sz w:val="32"/>
          <w:szCs w:val="32"/>
          <w:lang w:val="en-US" w:eastAsia="zh-CN"/>
        </w:rPr>
      </w:pPr>
      <w:bookmarkStart w:id="47" w:name="_Toc2000"/>
      <w:r>
        <w:rPr>
          <w:rFonts w:hint="eastAsia" w:ascii="宋体" w:hAnsi="宋体" w:eastAsia="宋体" w:cs="宋体"/>
          <w:sz w:val="32"/>
          <w:szCs w:val="32"/>
          <w:lang w:val="en-US" w:eastAsia="zh-CN"/>
        </w:rPr>
        <w:t>服务方案</w:t>
      </w:r>
      <w:bookmarkEnd w:id="47"/>
    </w:p>
    <w:p w14:paraId="49926633">
      <w:pPr>
        <w:pStyle w:val="8"/>
        <w:numPr>
          <w:ilvl w:val="0"/>
          <w:numId w:val="0"/>
        </w:numPr>
        <w:rPr>
          <w:rFonts w:hint="default"/>
          <w:lang w:val="en-US" w:eastAsia="zh-CN"/>
        </w:rPr>
      </w:pPr>
      <w:r>
        <w:rPr>
          <w:rFonts w:hint="eastAsia"/>
          <w:lang w:val="en-US" w:eastAsia="zh-CN"/>
        </w:rPr>
        <w:t>（供应商格式自拟）</w:t>
      </w:r>
    </w:p>
    <w:p w14:paraId="464D09AD">
      <w:pPr>
        <w:pStyle w:val="8"/>
        <w:numPr>
          <w:ilvl w:val="0"/>
          <w:numId w:val="0"/>
        </w:numPr>
        <w:rPr>
          <w:rFonts w:hint="default"/>
          <w:lang w:val="en-US" w:eastAsia="zh-CN"/>
        </w:rPr>
      </w:pPr>
    </w:p>
    <w:p w14:paraId="1F479D74">
      <w:pPr>
        <w:pStyle w:val="8"/>
        <w:numPr>
          <w:ilvl w:val="0"/>
          <w:numId w:val="0"/>
        </w:numPr>
        <w:rPr>
          <w:rFonts w:hint="default"/>
          <w:lang w:val="en-US" w:eastAsia="zh-CN"/>
        </w:rPr>
      </w:pPr>
    </w:p>
    <w:p w14:paraId="325FE52B">
      <w:pPr>
        <w:pStyle w:val="8"/>
        <w:numPr>
          <w:ilvl w:val="0"/>
          <w:numId w:val="0"/>
        </w:numPr>
        <w:rPr>
          <w:rFonts w:hint="default"/>
          <w:lang w:val="en-US" w:eastAsia="zh-CN"/>
        </w:rPr>
      </w:pPr>
    </w:p>
    <w:p w14:paraId="6B820D3B">
      <w:pPr>
        <w:pStyle w:val="8"/>
        <w:numPr>
          <w:ilvl w:val="0"/>
          <w:numId w:val="0"/>
        </w:numPr>
        <w:rPr>
          <w:rFonts w:hint="default"/>
          <w:lang w:val="en-US" w:eastAsia="zh-CN"/>
        </w:rPr>
      </w:pPr>
    </w:p>
    <w:p w14:paraId="1879F33D">
      <w:pPr>
        <w:pStyle w:val="8"/>
        <w:numPr>
          <w:ilvl w:val="0"/>
          <w:numId w:val="0"/>
        </w:numPr>
        <w:rPr>
          <w:rFonts w:hint="default"/>
          <w:lang w:val="en-US" w:eastAsia="zh-CN"/>
        </w:rPr>
      </w:pPr>
    </w:p>
    <w:p w14:paraId="70F4DC7E">
      <w:pPr>
        <w:pStyle w:val="8"/>
        <w:numPr>
          <w:ilvl w:val="0"/>
          <w:numId w:val="0"/>
        </w:numPr>
        <w:rPr>
          <w:rFonts w:hint="default"/>
          <w:lang w:val="en-US" w:eastAsia="zh-CN"/>
        </w:rPr>
      </w:pPr>
    </w:p>
    <w:p w14:paraId="22FF068B">
      <w:pPr>
        <w:pStyle w:val="8"/>
        <w:numPr>
          <w:ilvl w:val="0"/>
          <w:numId w:val="0"/>
        </w:numPr>
        <w:rPr>
          <w:rFonts w:hint="default"/>
          <w:lang w:val="en-US" w:eastAsia="zh-CN"/>
        </w:rPr>
      </w:pPr>
    </w:p>
    <w:p w14:paraId="10C4DCF0">
      <w:pPr>
        <w:pStyle w:val="8"/>
        <w:numPr>
          <w:ilvl w:val="0"/>
          <w:numId w:val="0"/>
        </w:numPr>
        <w:rPr>
          <w:rFonts w:hint="default"/>
          <w:lang w:val="en-US" w:eastAsia="zh-CN"/>
        </w:rPr>
      </w:pPr>
    </w:p>
    <w:p w14:paraId="00E8461D">
      <w:pPr>
        <w:pStyle w:val="8"/>
        <w:numPr>
          <w:ilvl w:val="0"/>
          <w:numId w:val="0"/>
        </w:numPr>
        <w:rPr>
          <w:rFonts w:hint="default"/>
          <w:lang w:val="en-US" w:eastAsia="zh-CN"/>
        </w:rPr>
      </w:pPr>
    </w:p>
    <w:p w14:paraId="4667EDFF">
      <w:pPr>
        <w:pStyle w:val="8"/>
        <w:numPr>
          <w:ilvl w:val="0"/>
          <w:numId w:val="0"/>
        </w:numPr>
        <w:rPr>
          <w:rFonts w:hint="default"/>
          <w:lang w:val="en-US" w:eastAsia="zh-CN"/>
        </w:rPr>
      </w:pPr>
    </w:p>
    <w:p w14:paraId="0D4B1BAA">
      <w:pPr>
        <w:pStyle w:val="8"/>
        <w:numPr>
          <w:ilvl w:val="0"/>
          <w:numId w:val="0"/>
        </w:numPr>
        <w:rPr>
          <w:rFonts w:hint="default"/>
          <w:lang w:val="en-US" w:eastAsia="zh-CN"/>
        </w:rPr>
      </w:pPr>
    </w:p>
    <w:p w14:paraId="4F02D534">
      <w:pPr>
        <w:pStyle w:val="8"/>
        <w:numPr>
          <w:ilvl w:val="0"/>
          <w:numId w:val="0"/>
        </w:numPr>
        <w:rPr>
          <w:rFonts w:hint="default"/>
          <w:lang w:val="en-US" w:eastAsia="zh-CN"/>
        </w:rPr>
      </w:pPr>
    </w:p>
    <w:p w14:paraId="5B73D30C">
      <w:pPr>
        <w:pStyle w:val="8"/>
        <w:numPr>
          <w:ilvl w:val="0"/>
          <w:numId w:val="0"/>
        </w:numPr>
        <w:rPr>
          <w:rFonts w:hint="default"/>
          <w:lang w:val="en-US" w:eastAsia="zh-CN"/>
        </w:rPr>
      </w:pPr>
    </w:p>
    <w:p w14:paraId="36DE18A4">
      <w:pPr>
        <w:pStyle w:val="8"/>
        <w:numPr>
          <w:ilvl w:val="0"/>
          <w:numId w:val="0"/>
        </w:numPr>
        <w:rPr>
          <w:rFonts w:hint="default"/>
          <w:lang w:val="en-US" w:eastAsia="zh-CN"/>
        </w:rPr>
      </w:pPr>
    </w:p>
    <w:p w14:paraId="5C9F4A52">
      <w:pPr>
        <w:pStyle w:val="8"/>
        <w:numPr>
          <w:ilvl w:val="0"/>
          <w:numId w:val="0"/>
        </w:numPr>
        <w:rPr>
          <w:rFonts w:hint="default"/>
          <w:lang w:val="en-US" w:eastAsia="zh-CN"/>
        </w:rPr>
      </w:pPr>
    </w:p>
    <w:p w14:paraId="1CB218D9">
      <w:pPr>
        <w:pStyle w:val="8"/>
        <w:numPr>
          <w:ilvl w:val="0"/>
          <w:numId w:val="0"/>
        </w:numPr>
        <w:rPr>
          <w:rFonts w:hint="default"/>
          <w:lang w:val="en-US" w:eastAsia="zh-CN"/>
        </w:rPr>
      </w:pPr>
    </w:p>
    <w:p w14:paraId="193916DD">
      <w:pPr>
        <w:pStyle w:val="8"/>
        <w:numPr>
          <w:ilvl w:val="0"/>
          <w:numId w:val="0"/>
        </w:numPr>
        <w:rPr>
          <w:rFonts w:hint="default"/>
          <w:lang w:val="en-US" w:eastAsia="zh-CN"/>
        </w:rPr>
      </w:pPr>
    </w:p>
    <w:p w14:paraId="511E953A">
      <w:pPr>
        <w:pStyle w:val="8"/>
        <w:numPr>
          <w:ilvl w:val="0"/>
          <w:numId w:val="0"/>
        </w:numPr>
        <w:rPr>
          <w:rFonts w:hint="default"/>
          <w:lang w:val="en-US" w:eastAsia="zh-CN"/>
        </w:rPr>
      </w:pPr>
    </w:p>
    <w:p w14:paraId="29CED102">
      <w:pPr>
        <w:pStyle w:val="8"/>
        <w:numPr>
          <w:ilvl w:val="0"/>
          <w:numId w:val="0"/>
        </w:numPr>
        <w:rPr>
          <w:rFonts w:hint="default"/>
          <w:lang w:val="en-US" w:eastAsia="zh-CN"/>
        </w:rPr>
      </w:pPr>
    </w:p>
    <w:p w14:paraId="645E593D">
      <w:pPr>
        <w:pStyle w:val="8"/>
        <w:numPr>
          <w:ilvl w:val="0"/>
          <w:numId w:val="0"/>
        </w:numPr>
        <w:rPr>
          <w:rFonts w:hint="default"/>
          <w:lang w:val="en-US" w:eastAsia="zh-CN"/>
        </w:rPr>
      </w:pPr>
    </w:p>
    <w:p w14:paraId="702D290A">
      <w:pPr>
        <w:pStyle w:val="8"/>
        <w:numPr>
          <w:ilvl w:val="0"/>
          <w:numId w:val="0"/>
        </w:numPr>
        <w:rPr>
          <w:rFonts w:hint="default"/>
          <w:lang w:val="en-US" w:eastAsia="zh-CN"/>
        </w:rPr>
      </w:pPr>
    </w:p>
    <w:p w14:paraId="5DE63FA2">
      <w:pPr>
        <w:pStyle w:val="8"/>
        <w:numPr>
          <w:ilvl w:val="0"/>
          <w:numId w:val="0"/>
        </w:numPr>
        <w:rPr>
          <w:rFonts w:hint="default"/>
          <w:lang w:val="en-US" w:eastAsia="zh-CN"/>
        </w:rPr>
      </w:pPr>
    </w:p>
    <w:p w14:paraId="1241D0BD">
      <w:pPr>
        <w:tabs>
          <w:tab w:val="left" w:pos="630"/>
        </w:tabs>
        <w:ind w:firstLine="630"/>
        <w:jc w:val="center"/>
        <w:rPr>
          <w:rFonts w:ascii="宋体" w:hAnsi="宋体"/>
          <w:sz w:val="28"/>
        </w:rPr>
      </w:pPr>
    </w:p>
    <w:p w14:paraId="1003ACD3">
      <w:pPr>
        <w:tabs>
          <w:tab w:val="left" w:pos="630"/>
        </w:tabs>
        <w:jc w:val="center"/>
        <w:rPr>
          <w:rFonts w:hint="eastAsia" w:ascii="方正宋黑简体" w:hAnsi="宋体" w:eastAsia="方正宋黑简体" w:cs="黑体"/>
          <w:b/>
          <w:bCs/>
          <w:sz w:val="36"/>
          <w:szCs w:val="36"/>
          <w:lang w:val="en-US" w:eastAsia="zh-CN"/>
        </w:rPr>
      </w:pPr>
      <w:bookmarkStart w:id="48" w:name="_Toc466549698"/>
    </w:p>
    <w:p w14:paraId="703B6F7C">
      <w:pPr>
        <w:tabs>
          <w:tab w:val="left" w:pos="630"/>
        </w:tabs>
        <w:jc w:val="center"/>
        <w:rPr>
          <w:rFonts w:hint="eastAsia" w:ascii="方正宋黑简体" w:hAnsi="宋体" w:eastAsia="方正宋黑简体" w:cs="黑体"/>
          <w:b/>
          <w:bCs/>
          <w:sz w:val="36"/>
          <w:szCs w:val="36"/>
          <w:lang w:val="en-US" w:eastAsia="zh-CN"/>
        </w:rPr>
      </w:pPr>
    </w:p>
    <w:p w14:paraId="2DCCC867">
      <w:pPr>
        <w:tabs>
          <w:tab w:val="left" w:pos="630"/>
        </w:tabs>
        <w:jc w:val="center"/>
        <w:rPr>
          <w:rFonts w:hint="eastAsia" w:ascii="方正宋黑简体" w:hAnsi="宋体" w:eastAsia="方正宋黑简体" w:cs="黑体"/>
          <w:b/>
          <w:bCs/>
          <w:sz w:val="36"/>
          <w:szCs w:val="36"/>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49" w:name="_Toc21635"/>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、资格证明材料</w:t>
      </w:r>
      <w:bookmarkEnd w:id="48"/>
      <w:bookmarkEnd w:id="49"/>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1"/>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界首融华置业有限公司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赵先生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19965898070</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25</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9</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23</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KSOF98BADBC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8463">
    <w:pPr>
      <w:pStyle w:val="15"/>
      <w:jc w:val="both"/>
    </w:pP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BB1B">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DC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D8DC7D">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安徽宛鸣工程管理有限公司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832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49D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2C49D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6F4C3">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06F4C3">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81D9951"/>
    <w:multiLevelType w:val="singleLevel"/>
    <w:tmpl w:val="681D9951"/>
    <w:lvl w:ilvl="0" w:tentative="0">
      <w:start w:val="2"/>
      <w:numFmt w:val="chineseCounting"/>
      <w:suff w:val="nothing"/>
      <w:lvlText w:val="%1、"/>
      <w:lvlJc w:val="left"/>
      <w:rPr>
        <w:rFonts w:hint="eastAsia"/>
      </w:rPr>
    </w:lvl>
  </w:abstractNum>
  <w:abstractNum w:abstractNumId="4">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1B28B3"/>
    <w:rsid w:val="01565F5E"/>
    <w:rsid w:val="0159126E"/>
    <w:rsid w:val="01A9205E"/>
    <w:rsid w:val="02647ECA"/>
    <w:rsid w:val="02EB125D"/>
    <w:rsid w:val="04243DD2"/>
    <w:rsid w:val="04A86794"/>
    <w:rsid w:val="04C41D81"/>
    <w:rsid w:val="060E0879"/>
    <w:rsid w:val="069B779E"/>
    <w:rsid w:val="06D21D6E"/>
    <w:rsid w:val="073521A4"/>
    <w:rsid w:val="0775005F"/>
    <w:rsid w:val="07D94961"/>
    <w:rsid w:val="07FA3DBD"/>
    <w:rsid w:val="08A977A9"/>
    <w:rsid w:val="09532D47"/>
    <w:rsid w:val="09853B96"/>
    <w:rsid w:val="09B25DA3"/>
    <w:rsid w:val="09BD560E"/>
    <w:rsid w:val="09D63B14"/>
    <w:rsid w:val="0B110C11"/>
    <w:rsid w:val="0B455196"/>
    <w:rsid w:val="0BCC649F"/>
    <w:rsid w:val="0CEC0866"/>
    <w:rsid w:val="0D2412B6"/>
    <w:rsid w:val="0DAE2941"/>
    <w:rsid w:val="0E4D2A06"/>
    <w:rsid w:val="0EDE08AA"/>
    <w:rsid w:val="0EF6634E"/>
    <w:rsid w:val="0F0E2956"/>
    <w:rsid w:val="10F20D97"/>
    <w:rsid w:val="110C1288"/>
    <w:rsid w:val="111E0FFE"/>
    <w:rsid w:val="11E15093"/>
    <w:rsid w:val="120848A5"/>
    <w:rsid w:val="127137AB"/>
    <w:rsid w:val="12907B30"/>
    <w:rsid w:val="135B5893"/>
    <w:rsid w:val="1361501A"/>
    <w:rsid w:val="13B16CE7"/>
    <w:rsid w:val="13BF09F4"/>
    <w:rsid w:val="146819AE"/>
    <w:rsid w:val="147F6DE6"/>
    <w:rsid w:val="15A5046C"/>
    <w:rsid w:val="15C75210"/>
    <w:rsid w:val="168E325B"/>
    <w:rsid w:val="173C07D6"/>
    <w:rsid w:val="17CD6433"/>
    <w:rsid w:val="17D73DBB"/>
    <w:rsid w:val="17E5547C"/>
    <w:rsid w:val="182F1EB5"/>
    <w:rsid w:val="184D685F"/>
    <w:rsid w:val="18AC27F1"/>
    <w:rsid w:val="19B62313"/>
    <w:rsid w:val="19B968F6"/>
    <w:rsid w:val="19EE47F1"/>
    <w:rsid w:val="1A0617E9"/>
    <w:rsid w:val="1A3D3083"/>
    <w:rsid w:val="1A4E26D4"/>
    <w:rsid w:val="1BC7026D"/>
    <w:rsid w:val="1BFE285A"/>
    <w:rsid w:val="1C0143F1"/>
    <w:rsid w:val="1C4C3F34"/>
    <w:rsid w:val="1C8E664A"/>
    <w:rsid w:val="1CB87339"/>
    <w:rsid w:val="1D9957C6"/>
    <w:rsid w:val="1DBD6DF4"/>
    <w:rsid w:val="1E023943"/>
    <w:rsid w:val="1E2E2B21"/>
    <w:rsid w:val="1F477960"/>
    <w:rsid w:val="1FA65DD9"/>
    <w:rsid w:val="1FAC7F3E"/>
    <w:rsid w:val="206A13ED"/>
    <w:rsid w:val="20BB5506"/>
    <w:rsid w:val="21EA15A1"/>
    <w:rsid w:val="21F91F85"/>
    <w:rsid w:val="22B94012"/>
    <w:rsid w:val="23217FEA"/>
    <w:rsid w:val="23226109"/>
    <w:rsid w:val="23802DCF"/>
    <w:rsid w:val="23B754F8"/>
    <w:rsid w:val="24253C3D"/>
    <w:rsid w:val="24AA08DA"/>
    <w:rsid w:val="24F230AC"/>
    <w:rsid w:val="25BD5D03"/>
    <w:rsid w:val="265B1230"/>
    <w:rsid w:val="27551185"/>
    <w:rsid w:val="27A331B3"/>
    <w:rsid w:val="281239A8"/>
    <w:rsid w:val="289935D0"/>
    <w:rsid w:val="296F5C2E"/>
    <w:rsid w:val="297F116D"/>
    <w:rsid w:val="29F15C38"/>
    <w:rsid w:val="2AF11DC3"/>
    <w:rsid w:val="2B9F0AFA"/>
    <w:rsid w:val="2BD77336"/>
    <w:rsid w:val="2C137AB2"/>
    <w:rsid w:val="2C6C3710"/>
    <w:rsid w:val="2D4A661B"/>
    <w:rsid w:val="2D6271B8"/>
    <w:rsid w:val="2E1D6FFC"/>
    <w:rsid w:val="2E4028D1"/>
    <w:rsid w:val="2E6D742C"/>
    <w:rsid w:val="30417BED"/>
    <w:rsid w:val="30AE13C0"/>
    <w:rsid w:val="30C3522A"/>
    <w:rsid w:val="32FB03C8"/>
    <w:rsid w:val="334A24A5"/>
    <w:rsid w:val="341B77F9"/>
    <w:rsid w:val="34E5618B"/>
    <w:rsid w:val="35B93AAE"/>
    <w:rsid w:val="35E87731"/>
    <w:rsid w:val="35E90367"/>
    <w:rsid w:val="363B7238"/>
    <w:rsid w:val="36697C0F"/>
    <w:rsid w:val="383A5121"/>
    <w:rsid w:val="391E1E7A"/>
    <w:rsid w:val="3A17031A"/>
    <w:rsid w:val="3A612DEC"/>
    <w:rsid w:val="3A663082"/>
    <w:rsid w:val="3ABE0410"/>
    <w:rsid w:val="3B7F1661"/>
    <w:rsid w:val="3C251366"/>
    <w:rsid w:val="3C6D55F2"/>
    <w:rsid w:val="3CDE526C"/>
    <w:rsid w:val="3D3C29A9"/>
    <w:rsid w:val="3DBA42C7"/>
    <w:rsid w:val="3DC94AAA"/>
    <w:rsid w:val="3DCE38F3"/>
    <w:rsid w:val="3E3A37F9"/>
    <w:rsid w:val="3E566F56"/>
    <w:rsid w:val="3E580E80"/>
    <w:rsid w:val="3EA2253E"/>
    <w:rsid w:val="3EC73711"/>
    <w:rsid w:val="3EF91A2E"/>
    <w:rsid w:val="3F065BE0"/>
    <w:rsid w:val="3F0A2B27"/>
    <w:rsid w:val="3F1061F2"/>
    <w:rsid w:val="3FF269A3"/>
    <w:rsid w:val="41144C6D"/>
    <w:rsid w:val="412A1C1A"/>
    <w:rsid w:val="416606A4"/>
    <w:rsid w:val="42195D90"/>
    <w:rsid w:val="4233496A"/>
    <w:rsid w:val="424031B4"/>
    <w:rsid w:val="428F4D97"/>
    <w:rsid w:val="432033BE"/>
    <w:rsid w:val="436040FA"/>
    <w:rsid w:val="43FB1195"/>
    <w:rsid w:val="44103694"/>
    <w:rsid w:val="444F1B53"/>
    <w:rsid w:val="45190A56"/>
    <w:rsid w:val="45950554"/>
    <w:rsid w:val="45AB33AE"/>
    <w:rsid w:val="45BA7E1A"/>
    <w:rsid w:val="45CA0891"/>
    <w:rsid w:val="46696E2A"/>
    <w:rsid w:val="46767799"/>
    <w:rsid w:val="46A768C1"/>
    <w:rsid w:val="46B1432D"/>
    <w:rsid w:val="46C82140"/>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6E74E2"/>
    <w:rsid w:val="4D9B4A06"/>
    <w:rsid w:val="4E2D35B2"/>
    <w:rsid w:val="4EBD2914"/>
    <w:rsid w:val="4F487B55"/>
    <w:rsid w:val="4FB93955"/>
    <w:rsid w:val="4FE775D6"/>
    <w:rsid w:val="50203B81"/>
    <w:rsid w:val="50550E6A"/>
    <w:rsid w:val="512B716F"/>
    <w:rsid w:val="512D35D3"/>
    <w:rsid w:val="51501CA0"/>
    <w:rsid w:val="51541F2B"/>
    <w:rsid w:val="518A40F8"/>
    <w:rsid w:val="518F5D7E"/>
    <w:rsid w:val="526130AB"/>
    <w:rsid w:val="528A2602"/>
    <w:rsid w:val="534B434D"/>
    <w:rsid w:val="542E2CF2"/>
    <w:rsid w:val="54A32188"/>
    <w:rsid w:val="54F2623D"/>
    <w:rsid w:val="550F21D8"/>
    <w:rsid w:val="55C227D4"/>
    <w:rsid w:val="55E3481E"/>
    <w:rsid w:val="55ED5D4E"/>
    <w:rsid w:val="55F90049"/>
    <w:rsid w:val="562C1C22"/>
    <w:rsid w:val="56FF2E93"/>
    <w:rsid w:val="579015AD"/>
    <w:rsid w:val="58032FB6"/>
    <w:rsid w:val="58C566EC"/>
    <w:rsid w:val="594352B9"/>
    <w:rsid w:val="59CD6226"/>
    <w:rsid w:val="5A1A1729"/>
    <w:rsid w:val="5B31622B"/>
    <w:rsid w:val="5B321CD2"/>
    <w:rsid w:val="5C8A2CB5"/>
    <w:rsid w:val="5CA27DA8"/>
    <w:rsid w:val="5CD31049"/>
    <w:rsid w:val="5D535CE6"/>
    <w:rsid w:val="5DF64FF0"/>
    <w:rsid w:val="5E084D23"/>
    <w:rsid w:val="5E7720E9"/>
    <w:rsid w:val="5E80006A"/>
    <w:rsid w:val="5F0B6879"/>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5537F1"/>
    <w:rsid w:val="676621DD"/>
    <w:rsid w:val="69004F74"/>
    <w:rsid w:val="69624656"/>
    <w:rsid w:val="69C73CE4"/>
    <w:rsid w:val="6AFD758E"/>
    <w:rsid w:val="6B9B5702"/>
    <w:rsid w:val="6BB9765C"/>
    <w:rsid w:val="6C8639E2"/>
    <w:rsid w:val="6CA964B9"/>
    <w:rsid w:val="6D277756"/>
    <w:rsid w:val="6DAA1953"/>
    <w:rsid w:val="6E1454E9"/>
    <w:rsid w:val="6EF150E7"/>
    <w:rsid w:val="6F220DD6"/>
    <w:rsid w:val="6F9A3937"/>
    <w:rsid w:val="6FF46EB5"/>
    <w:rsid w:val="6FF7700F"/>
    <w:rsid w:val="703E2CC3"/>
    <w:rsid w:val="706F04D8"/>
    <w:rsid w:val="71211F2C"/>
    <w:rsid w:val="714A6D0C"/>
    <w:rsid w:val="71A17830"/>
    <w:rsid w:val="71CD778A"/>
    <w:rsid w:val="72F03A9F"/>
    <w:rsid w:val="73334198"/>
    <w:rsid w:val="7406514C"/>
    <w:rsid w:val="747B5C09"/>
    <w:rsid w:val="74911482"/>
    <w:rsid w:val="7510616E"/>
    <w:rsid w:val="752009CB"/>
    <w:rsid w:val="752516D6"/>
    <w:rsid w:val="75640639"/>
    <w:rsid w:val="762C6F42"/>
    <w:rsid w:val="76901094"/>
    <w:rsid w:val="77212C85"/>
    <w:rsid w:val="7739300E"/>
    <w:rsid w:val="77604A69"/>
    <w:rsid w:val="776668EA"/>
    <w:rsid w:val="77A94215"/>
    <w:rsid w:val="77F42DAE"/>
    <w:rsid w:val="793B0B95"/>
    <w:rsid w:val="79425135"/>
    <w:rsid w:val="79DA536E"/>
    <w:rsid w:val="7AF92A18"/>
    <w:rsid w:val="7B4B3736"/>
    <w:rsid w:val="7B9B52A6"/>
    <w:rsid w:val="7BDC51A4"/>
    <w:rsid w:val="7C964089"/>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next w:val="1"/>
    <w:link w:val="43"/>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eastAsia="宋体" w:cs="Times New Roman"/>
    </w:rPr>
  </w:style>
  <w:style w:type="paragraph" w:styleId="14">
    <w:name w:val="Body Text Indent 2"/>
    <w:basedOn w:val="1"/>
    <w:link w:val="4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5">
    <w:name w:val="footer"/>
    <w:basedOn w:val="1"/>
    <w:link w:val="39"/>
    <w:unhideWhenUsed/>
    <w:qFormat/>
    <w:uiPriority w:val="0"/>
    <w:pPr>
      <w:tabs>
        <w:tab w:val="center" w:pos="4153"/>
        <w:tab w:val="right" w:pos="8306"/>
      </w:tabs>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style>
  <w:style w:type="character" w:styleId="25">
    <w:name w:val="page number"/>
    <w:unhideWhenUsed/>
    <w:qFormat/>
    <w:uiPriority w:val="99"/>
  </w:style>
  <w:style w:type="character" w:styleId="26">
    <w:name w:val="FollowedHyperlink"/>
    <w:basedOn w:val="23"/>
    <w:semiHidden/>
    <w:unhideWhenUsed/>
    <w:qFormat/>
    <w:uiPriority w:val="99"/>
    <w:rPr>
      <w:color w:val="800080"/>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semiHidden/>
    <w:unhideWhenUsed/>
    <w:qFormat/>
    <w:uiPriority w:val="99"/>
    <w:rPr>
      <w:color w:val="0000FF"/>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HTML Cite"/>
    <w:basedOn w:val="23"/>
    <w:semiHidden/>
    <w:unhideWhenUsed/>
    <w:qFormat/>
    <w:uiPriority w:val="99"/>
  </w:style>
  <w:style w:type="character" w:styleId="35">
    <w:name w:val="HTML Keyboard"/>
    <w:basedOn w:val="23"/>
    <w:semiHidden/>
    <w:unhideWhenUsed/>
    <w:qFormat/>
    <w:uiPriority w:val="99"/>
    <w:rPr>
      <w:rFonts w:ascii="monospace" w:hAnsi="monospace" w:eastAsia="monospace" w:cs="monospace"/>
      <w:sz w:val="20"/>
    </w:rPr>
  </w:style>
  <w:style w:type="character" w:styleId="36">
    <w:name w:val="HTML Sample"/>
    <w:basedOn w:val="23"/>
    <w:semiHidden/>
    <w:unhideWhenUsed/>
    <w:qFormat/>
    <w:uiPriority w:val="99"/>
    <w:rPr>
      <w:rFonts w:hint="default" w:ascii="monospace" w:hAnsi="monospace" w:eastAsia="monospace" w:cs="monospace"/>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character" w:customStyle="1" w:styleId="38">
    <w:name w:val="页眉 Char"/>
    <w:basedOn w:val="23"/>
    <w:link w:val="16"/>
    <w:qFormat/>
    <w:uiPriority w:val="0"/>
    <w:rPr>
      <w:rFonts w:ascii="Tahoma" w:hAnsi="Tahoma"/>
      <w:sz w:val="18"/>
      <w:szCs w:val="18"/>
    </w:rPr>
  </w:style>
  <w:style w:type="character" w:customStyle="1" w:styleId="39">
    <w:name w:val="页脚 Char"/>
    <w:basedOn w:val="23"/>
    <w:link w:val="15"/>
    <w:semiHidden/>
    <w:qFormat/>
    <w:uiPriority w:val="99"/>
    <w:rPr>
      <w:rFonts w:ascii="Tahoma" w:hAnsi="Tahoma"/>
      <w:sz w:val="18"/>
      <w:szCs w:val="18"/>
    </w:rPr>
  </w:style>
  <w:style w:type="character" w:customStyle="1" w:styleId="40">
    <w:name w:val="正文文本缩进 2 Char"/>
    <w:basedOn w:val="23"/>
    <w:link w:val="14"/>
    <w:qFormat/>
    <w:uiPriority w:val="99"/>
    <w:rPr>
      <w:rFonts w:ascii="Times New Roman" w:hAnsi="Times New Roman" w:eastAsia="宋体" w:cs="Times New Roman"/>
      <w:kern w:val="2"/>
      <w:sz w:val="21"/>
      <w:szCs w:val="20"/>
    </w:rPr>
  </w:style>
  <w:style w:type="paragraph" w:customStyle="1" w:styleId="4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2">
    <w:name w:val="正文文本缩进 Char"/>
    <w:basedOn w:val="23"/>
    <w:link w:val="9"/>
    <w:qFormat/>
    <w:uiPriority w:val="99"/>
    <w:rPr>
      <w:rFonts w:ascii="Times New Roman" w:hAnsi="Times New Roman" w:eastAsia="仿宋_GB2312" w:cs="Times New Roman"/>
      <w:kern w:val="2"/>
      <w:sz w:val="28"/>
      <w:szCs w:val="20"/>
    </w:rPr>
  </w:style>
  <w:style w:type="character" w:customStyle="1" w:styleId="43">
    <w:name w:val="正文首行缩进 2 Char"/>
    <w:basedOn w:val="42"/>
    <w:link w:val="8"/>
    <w:qFormat/>
    <w:uiPriority w:val="0"/>
    <w:rPr>
      <w:rFonts w:eastAsia="宋体"/>
      <w:sz w:val="21"/>
      <w:szCs w:val="24"/>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5">
    <w:name w:val="List Paragraph"/>
    <w:basedOn w:val="1"/>
    <w:qFormat/>
    <w:uiPriority w:val="34"/>
    <w:pPr>
      <w:ind w:firstLine="420" w:firstLineChars="200"/>
    </w:p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5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20"/>
      <w:szCs w:val="20"/>
      <w:u w:val="none"/>
    </w:rPr>
  </w:style>
  <w:style w:type="character" w:customStyle="1" w:styleId="49">
    <w:name w:val="font41"/>
    <w:basedOn w:val="23"/>
    <w:qFormat/>
    <w:uiPriority w:val="0"/>
    <w:rPr>
      <w:rFonts w:hint="eastAsia" w:ascii="宋体" w:hAnsi="宋体" w:eastAsia="宋体" w:cs="宋体"/>
      <w:color w:val="000000"/>
      <w:sz w:val="22"/>
      <w:szCs w:val="22"/>
      <w:u w:val="none"/>
    </w:rPr>
  </w:style>
  <w:style w:type="character" w:customStyle="1" w:styleId="50">
    <w:name w:val="font11"/>
    <w:basedOn w:val="23"/>
    <w:qFormat/>
    <w:uiPriority w:val="0"/>
    <w:rPr>
      <w:rFonts w:hint="eastAsia" w:ascii="宋体" w:hAnsi="宋体" w:eastAsia="宋体" w:cs="宋体"/>
      <w:color w:val="000000"/>
      <w:sz w:val="28"/>
      <w:szCs w:val="28"/>
      <w:u w:val="none"/>
    </w:rPr>
  </w:style>
  <w:style w:type="paragraph" w:customStyle="1" w:styleId="51">
    <w:name w:val="p0"/>
    <w:basedOn w:val="1"/>
    <w:qFormat/>
    <w:uiPriority w:val="99"/>
    <w:pPr>
      <w:widowControl/>
    </w:pPr>
    <w:rPr>
      <w:kern w:val="0"/>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列表段落1"/>
    <w:basedOn w:val="1"/>
    <w:qFormat/>
    <w:uiPriority w:val="99"/>
    <w:pPr>
      <w:ind w:firstLine="420" w:firstLineChars="200"/>
    </w:pPr>
  </w:style>
  <w:style w:type="character" w:customStyle="1" w:styleId="54">
    <w:name w:val="style3"/>
    <w:qFormat/>
    <w:uiPriority w:val="0"/>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26</Pages>
  <Words>6819</Words>
  <Characters>7142</Characters>
  <Lines>87</Lines>
  <Paragraphs>24</Paragraphs>
  <TotalTime>9</TotalTime>
  <ScaleCrop>false</ScaleCrop>
  <LinksUpToDate>false</LinksUpToDate>
  <CharactersWithSpaces>8053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2022-04-21T02:01:00Z</cp:lastPrinted>
  <dcterms:modified xsi:type="dcterms:W3CDTF">2026-01-20T02:58:34Z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1F0836943D4B49EFA44149A561789FD6</vt:lpwstr>
  </property>
  <property fmtid="{D5CDD505-2E9C-101B-9397-08002B2CF9AE}" pid="4" name="KSOTemplateDocerSaveRecord">
    <vt:lpwstr>eyJoZGlkIjoiNjM1MzMwOTZjNjY4NzMyNDgwZDkyYTEzZTEzNTllZWYiLCJ1c2VySWQiOiI0MzI1NTYyMzEifQ==</vt:lpwstr>
  </property>
</Properties>
</file>