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AC409">
      <w:pPr>
        <w:spacing w:line="360" w:lineRule="auto"/>
        <w:jc w:val="both"/>
        <w:rPr>
          <w:rFonts w:ascii="宋体" w:hAnsi="宋体"/>
          <w:b/>
          <w:bCs/>
          <w:sz w:val="32"/>
          <w:szCs w:val="32"/>
          <w:highlight w:val="none"/>
          <w:u w:val="single"/>
        </w:rPr>
      </w:pPr>
    </w:p>
    <w:p w14:paraId="486661BF">
      <w:pPr>
        <w:pStyle w:val="10"/>
        <w:jc w:val="center"/>
        <w:rPr>
          <w:rFonts w:hint="eastAsia" w:cs="Times New Roman"/>
          <w:b/>
          <w:kern w:val="2"/>
          <w:sz w:val="48"/>
          <w:szCs w:val="48"/>
          <w:highlight w:val="none"/>
          <w:lang w:val="en-US" w:eastAsia="zh-CN" w:bidi="ar-SA"/>
        </w:rPr>
      </w:pPr>
      <w:r>
        <w:rPr>
          <w:rFonts w:hint="eastAsia" w:cs="Times New Roman"/>
          <w:b/>
          <w:kern w:val="2"/>
          <w:sz w:val="48"/>
          <w:szCs w:val="48"/>
          <w:highlight w:val="none"/>
          <w:lang w:val="en-US" w:eastAsia="zh-CN" w:bidi="ar-SA"/>
        </w:rPr>
        <w:t>安徽融城高新技术产业发展集团有限公司界首市军用特种服饰生产和研发军民融合示范园项目（一期）检测</w:t>
      </w:r>
    </w:p>
    <w:p w14:paraId="4FF9FCFA">
      <w:pPr>
        <w:pStyle w:val="10"/>
        <w:jc w:val="center"/>
        <w:rPr>
          <w:rFonts w:hint="eastAsia" w:cs="Times New Roman"/>
          <w:b/>
          <w:kern w:val="2"/>
          <w:sz w:val="52"/>
          <w:szCs w:val="52"/>
          <w:highlight w:val="none"/>
          <w:lang w:val="en-US" w:eastAsia="zh-CN" w:bidi="ar-SA"/>
        </w:rPr>
      </w:pPr>
    </w:p>
    <w:p w14:paraId="00FD8AE9">
      <w:pPr>
        <w:pStyle w:val="16"/>
        <w:rPr>
          <w:rFonts w:hint="eastAsia" w:ascii="宋体" w:hAnsi="宋体"/>
          <w:b/>
          <w:bCs/>
          <w:sz w:val="32"/>
          <w:szCs w:val="32"/>
          <w:highlight w:val="none"/>
          <w:u w:val="single"/>
          <w:lang w:eastAsia="zh-CN"/>
        </w:rPr>
      </w:pPr>
    </w:p>
    <w:p w14:paraId="1F2BB426">
      <w:pPr>
        <w:rPr>
          <w:rFonts w:hint="eastAsia"/>
          <w:highlight w:val="none"/>
          <w:lang w:eastAsia="zh-CN"/>
        </w:rPr>
      </w:pPr>
    </w:p>
    <w:p w14:paraId="586292C0">
      <w:pPr>
        <w:jc w:val="center"/>
        <w:rPr>
          <w:rFonts w:ascii="宋体" w:hAnsi="宋体"/>
          <w:sz w:val="32"/>
          <w:szCs w:val="32"/>
          <w:highlight w:val="none"/>
        </w:rPr>
      </w:pPr>
      <w:r>
        <w:rPr>
          <w:rFonts w:hint="eastAsia" w:ascii="宋体" w:hAnsi="宋体"/>
          <w:b/>
          <w:bCs/>
          <w:sz w:val="72"/>
          <w:szCs w:val="72"/>
          <w:highlight w:val="none"/>
        </w:rPr>
        <w:t>竞争性</w:t>
      </w:r>
      <w:r>
        <w:rPr>
          <w:rFonts w:hint="eastAsia" w:ascii="宋体" w:hAnsi="宋体"/>
          <w:b/>
          <w:bCs/>
          <w:sz w:val="72"/>
          <w:szCs w:val="72"/>
          <w:highlight w:val="none"/>
          <w:lang w:eastAsia="zh-CN"/>
        </w:rPr>
        <w:t>谈判</w:t>
      </w:r>
      <w:r>
        <w:rPr>
          <w:rFonts w:hint="eastAsia" w:ascii="宋体" w:hAnsi="宋体"/>
          <w:b/>
          <w:bCs/>
          <w:sz w:val="72"/>
          <w:szCs w:val="72"/>
          <w:highlight w:val="none"/>
        </w:rPr>
        <w:t>文件</w:t>
      </w:r>
    </w:p>
    <w:p w14:paraId="5050AF8C">
      <w:pPr>
        <w:jc w:val="center"/>
        <w:rPr>
          <w:rFonts w:hint="eastAsia" w:ascii="宋体" w:hAnsi="宋体"/>
          <w:b/>
          <w:sz w:val="32"/>
          <w:szCs w:val="32"/>
          <w:highlight w:val="none"/>
          <w:lang w:eastAsia="zh-CN"/>
        </w:rPr>
      </w:pPr>
    </w:p>
    <w:p w14:paraId="3BB82751">
      <w:pPr>
        <w:jc w:val="center"/>
        <w:rPr>
          <w:rFonts w:hint="default" w:ascii="宋体" w:hAnsi="宋体"/>
          <w:sz w:val="32"/>
          <w:szCs w:val="32"/>
          <w:highlight w:val="none"/>
          <w:lang w:val="en-US"/>
        </w:rPr>
      </w:pPr>
      <w:r>
        <w:rPr>
          <w:rFonts w:hint="eastAsia" w:ascii="宋体" w:hAnsi="宋体"/>
          <w:b/>
          <w:sz w:val="32"/>
          <w:szCs w:val="32"/>
          <w:highlight w:val="none"/>
          <w:lang w:eastAsia="zh-CN"/>
        </w:rPr>
        <w:t>（</w:t>
      </w:r>
      <w:r>
        <w:rPr>
          <w:rFonts w:hint="eastAsia" w:ascii="宋体" w:hAnsi="宋体"/>
          <w:b/>
          <w:sz w:val="32"/>
          <w:szCs w:val="32"/>
          <w:highlight w:val="none"/>
        </w:rPr>
        <w:t>项目编号：</w:t>
      </w:r>
      <w:r>
        <w:rPr>
          <w:rFonts w:hint="eastAsia" w:ascii="宋体" w:hAnsi="宋体" w:cs="宋体"/>
          <w:b/>
          <w:spacing w:val="20"/>
          <w:sz w:val="32"/>
          <w:szCs w:val="32"/>
          <w:highlight w:val="none"/>
          <w:lang w:val="en-US" w:eastAsia="zh-CN"/>
        </w:rPr>
        <w:t>ZZY-20260518）</w:t>
      </w:r>
    </w:p>
    <w:p w14:paraId="4FB597DC">
      <w:pPr>
        <w:rPr>
          <w:rFonts w:ascii="宋体" w:hAnsi="宋体"/>
          <w:sz w:val="32"/>
          <w:szCs w:val="32"/>
          <w:highlight w:val="none"/>
        </w:rPr>
      </w:pPr>
    </w:p>
    <w:p w14:paraId="5BF9EA91">
      <w:pPr>
        <w:rPr>
          <w:rFonts w:ascii="宋体" w:hAnsi="宋体"/>
          <w:sz w:val="32"/>
          <w:szCs w:val="32"/>
          <w:highlight w:val="none"/>
        </w:rPr>
      </w:pPr>
    </w:p>
    <w:p w14:paraId="4B4BB570">
      <w:pPr>
        <w:rPr>
          <w:rFonts w:ascii="宋体" w:hAnsi="宋体"/>
          <w:sz w:val="32"/>
          <w:szCs w:val="32"/>
          <w:highlight w:val="none"/>
        </w:rPr>
      </w:pPr>
    </w:p>
    <w:p w14:paraId="66436143">
      <w:pPr>
        <w:rPr>
          <w:rFonts w:ascii="宋体" w:hAnsi="宋体"/>
          <w:sz w:val="32"/>
          <w:szCs w:val="32"/>
          <w:highlight w:val="none"/>
        </w:rPr>
      </w:pPr>
    </w:p>
    <w:p w14:paraId="7819235E">
      <w:pPr>
        <w:rPr>
          <w:rFonts w:ascii="宋体" w:hAnsi="宋体"/>
          <w:sz w:val="32"/>
          <w:szCs w:val="32"/>
          <w:highlight w:val="none"/>
        </w:rPr>
      </w:pPr>
    </w:p>
    <w:p w14:paraId="576D1DE0">
      <w:pPr>
        <w:rPr>
          <w:rFonts w:ascii="宋体" w:hAnsi="宋体"/>
          <w:sz w:val="32"/>
          <w:szCs w:val="32"/>
          <w:highlight w:val="none"/>
        </w:rPr>
      </w:pPr>
    </w:p>
    <w:p w14:paraId="6CBACBF6">
      <w:pPr>
        <w:rPr>
          <w:rFonts w:ascii="宋体" w:hAnsi="宋体"/>
          <w:sz w:val="32"/>
          <w:szCs w:val="32"/>
          <w:highlight w:val="none"/>
        </w:rPr>
      </w:pPr>
    </w:p>
    <w:p w14:paraId="5B0471FB">
      <w:pPr>
        <w:rPr>
          <w:rFonts w:ascii="宋体" w:hAnsi="宋体"/>
          <w:sz w:val="32"/>
          <w:szCs w:val="32"/>
          <w:highlight w:val="none"/>
        </w:rPr>
      </w:pPr>
    </w:p>
    <w:p w14:paraId="5CA5F017">
      <w:pPr>
        <w:rPr>
          <w:rFonts w:ascii="宋体" w:hAnsi="宋体"/>
          <w:sz w:val="32"/>
          <w:szCs w:val="32"/>
          <w:highlight w:val="none"/>
        </w:rPr>
      </w:pPr>
    </w:p>
    <w:p w14:paraId="7039954B">
      <w:pPr>
        <w:ind w:firstLine="964" w:firstLineChars="300"/>
        <w:jc w:val="both"/>
        <w:rPr>
          <w:rFonts w:hint="eastAsia" w:ascii="宋体" w:hAnsi="宋体"/>
          <w:b/>
          <w:sz w:val="32"/>
          <w:szCs w:val="32"/>
          <w:highlight w:val="none"/>
          <w:u w:val="single"/>
          <w:lang w:eastAsia="zh-CN"/>
        </w:rPr>
      </w:pPr>
      <w:r>
        <w:rPr>
          <w:rFonts w:hint="eastAsia" w:ascii="宋体" w:hAnsi="宋体"/>
          <w:b/>
          <w:sz w:val="32"/>
          <w:szCs w:val="32"/>
          <w:highlight w:val="none"/>
        </w:rPr>
        <w:t xml:space="preserve">采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 xml:space="preserve">购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人：</w:t>
      </w:r>
      <w:r>
        <w:rPr>
          <w:rFonts w:hint="eastAsia" w:ascii="宋体" w:hAnsi="宋体"/>
          <w:b/>
          <w:sz w:val="32"/>
          <w:szCs w:val="32"/>
          <w:highlight w:val="none"/>
          <w:u w:val="single"/>
          <w:lang w:eastAsia="zh-CN"/>
        </w:rPr>
        <w:t>安徽融城高新技术产业发展集团有限公司</w:t>
      </w:r>
    </w:p>
    <w:p w14:paraId="44C7DC5D">
      <w:pPr>
        <w:pStyle w:val="16"/>
        <w:rPr>
          <w:rFonts w:hint="eastAsia"/>
          <w:highlight w:val="none"/>
        </w:rPr>
      </w:pPr>
    </w:p>
    <w:p w14:paraId="6680E58B">
      <w:pPr>
        <w:ind w:firstLine="964" w:firstLineChars="300"/>
        <w:jc w:val="both"/>
        <w:rPr>
          <w:rFonts w:ascii="宋体" w:hAnsi="宋体"/>
          <w:b/>
          <w:sz w:val="32"/>
          <w:szCs w:val="32"/>
          <w:highlight w:val="none"/>
        </w:rPr>
      </w:pPr>
      <w:r>
        <w:rPr>
          <w:rFonts w:hint="eastAsia" w:ascii="宋体" w:hAnsi="宋体"/>
          <w:b/>
          <w:sz w:val="32"/>
          <w:szCs w:val="32"/>
          <w:highlight w:val="none"/>
        </w:rPr>
        <w:t>招标代理机构：</w:t>
      </w:r>
      <w:r>
        <w:rPr>
          <w:rFonts w:hint="eastAsia" w:ascii="宋体" w:hAnsi="宋体"/>
          <w:b/>
          <w:sz w:val="32"/>
          <w:szCs w:val="32"/>
          <w:highlight w:val="none"/>
          <w:u w:val="single"/>
          <w:lang w:eastAsia="zh-CN"/>
        </w:rPr>
        <w:t>中致远工程管理咨询有限公司</w:t>
      </w:r>
    </w:p>
    <w:p w14:paraId="5465251B">
      <w:pPr>
        <w:rPr>
          <w:rFonts w:ascii="宋体" w:hAnsi="宋体"/>
          <w:b/>
          <w:sz w:val="32"/>
          <w:szCs w:val="32"/>
          <w:highlight w:val="none"/>
          <w:u w:val="single"/>
        </w:rPr>
      </w:pPr>
    </w:p>
    <w:p w14:paraId="3F8F9302">
      <w:pPr>
        <w:spacing w:line="440" w:lineRule="exact"/>
        <w:ind w:right="42" w:rightChars="20"/>
        <w:jc w:val="center"/>
        <w:rPr>
          <w:rFonts w:ascii="宋体" w:hAnsi="宋体" w:cs="Arial"/>
          <w:b/>
          <w:sz w:val="32"/>
          <w:szCs w:val="32"/>
          <w:highlight w:val="none"/>
        </w:rPr>
      </w:pPr>
    </w:p>
    <w:p w14:paraId="59B0E038">
      <w:pPr>
        <w:spacing w:line="440" w:lineRule="exact"/>
        <w:ind w:right="42" w:rightChars="20"/>
        <w:jc w:val="center"/>
        <w:rPr>
          <w:rFonts w:ascii="宋体" w:hAnsi="宋体" w:cs="Arial"/>
          <w:b/>
          <w:sz w:val="32"/>
          <w:szCs w:val="32"/>
          <w:highlight w:val="none"/>
        </w:rPr>
      </w:pPr>
    </w:p>
    <w:p w14:paraId="7858AF70">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6</w:t>
      </w:r>
      <w:r>
        <w:rPr>
          <w:rFonts w:hint="eastAsia" w:ascii="宋体" w:hAnsi="宋体" w:cs="Arial"/>
          <w:b/>
          <w:sz w:val="32"/>
          <w:szCs w:val="32"/>
          <w:highlight w:val="none"/>
        </w:rPr>
        <w:t>年</w:t>
      </w:r>
      <w:r>
        <w:rPr>
          <w:rFonts w:hint="eastAsia" w:ascii="宋体" w:hAnsi="宋体" w:cs="Arial"/>
          <w:b/>
          <w:sz w:val="32"/>
          <w:szCs w:val="32"/>
          <w:highlight w:val="none"/>
          <w:u w:val="none"/>
          <w:lang w:val="en-US" w:eastAsia="zh-CN"/>
        </w:rPr>
        <w:t>5</w:t>
      </w:r>
      <w:r>
        <w:rPr>
          <w:rFonts w:hint="eastAsia" w:ascii="宋体" w:hAnsi="宋体" w:cs="Arial"/>
          <w:b/>
          <w:sz w:val="32"/>
          <w:szCs w:val="32"/>
          <w:highlight w:val="none"/>
        </w:rPr>
        <w:t>月</w:t>
      </w:r>
      <w:r>
        <w:rPr>
          <w:rFonts w:ascii="宋体" w:hAnsi="宋体" w:cs="Arial"/>
          <w:b/>
          <w:sz w:val="32"/>
          <w:szCs w:val="32"/>
          <w:highlight w:val="none"/>
        </w:rPr>
        <w:t xml:space="preserve"> </w:t>
      </w:r>
    </w:p>
    <w:p w14:paraId="2ADBE248">
      <w:pPr>
        <w:widowControl/>
        <w:jc w:val="left"/>
        <w:rPr>
          <w:rFonts w:ascii="宋体" w:hAnsi="宋体"/>
          <w:sz w:val="32"/>
          <w:szCs w:val="32"/>
          <w:highlight w:val="none"/>
        </w:rPr>
      </w:pPr>
      <w:r>
        <w:rPr>
          <w:rFonts w:ascii="宋体" w:hAnsi="宋体"/>
          <w:sz w:val="32"/>
          <w:szCs w:val="32"/>
          <w:highlight w:val="none"/>
        </w:rPr>
        <w:br w:type="page"/>
      </w:r>
    </w:p>
    <w:p w14:paraId="45DD2A0E">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14:paraId="43E2485E">
      <w:pPr>
        <w:pStyle w:val="22"/>
        <w:rPr>
          <w:rFonts w:ascii="宋体" w:hAnsi="宋体"/>
          <w:b/>
          <w:sz w:val="32"/>
          <w:highlight w:val="none"/>
        </w:rPr>
      </w:pPr>
    </w:p>
    <w:p w14:paraId="6BE61598">
      <w:pPr>
        <w:pStyle w:val="14"/>
        <w:tabs>
          <w:tab w:val="right" w:leader="dot" w:pos="8890"/>
        </w:tabs>
        <w:spacing w:line="480" w:lineRule="auto"/>
        <w:rPr>
          <w:b/>
          <w:bCs/>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highlight w:val="none"/>
        </w:rPr>
        <w:fldChar w:fldCharType="begin"/>
      </w:r>
      <w:r>
        <w:rPr>
          <w:b/>
          <w:bCs/>
          <w:highlight w:val="none"/>
        </w:rPr>
        <w:instrText xml:space="preserve"> HYPERLINK \l _Toc24676 </w:instrText>
      </w:r>
      <w:r>
        <w:rPr>
          <w:b/>
          <w:bCs/>
          <w:highlight w:val="none"/>
        </w:rPr>
        <w:fldChar w:fldCharType="separate"/>
      </w:r>
      <w:r>
        <w:rPr>
          <w:rFonts w:hint="eastAsia" w:ascii="宋体" w:hAnsi="宋体"/>
          <w:b/>
          <w:bCs/>
          <w:szCs w:val="32"/>
          <w:highlight w:val="none"/>
        </w:rPr>
        <w:t>第一章 竞争性</w:t>
      </w:r>
      <w:r>
        <w:rPr>
          <w:rFonts w:hint="eastAsia" w:ascii="宋体" w:hAnsi="宋体"/>
          <w:b/>
          <w:bCs/>
          <w:szCs w:val="32"/>
          <w:highlight w:val="none"/>
          <w:lang w:eastAsia="zh-CN"/>
        </w:rPr>
        <w:t>谈判</w:t>
      </w:r>
      <w:r>
        <w:rPr>
          <w:rFonts w:hint="eastAsia" w:ascii="宋体" w:hAnsi="宋体"/>
          <w:b/>
          <w:bCs/>
          <w:szCs w:val="32"/>
          <w:highlight w:val="none"/>
        </w:rPr>
        <w:t>公告</w:t>
      </w:r>
      <w:r>
        <w:rPr>
          <w:b/>
          <w:bCs/>
          <w:highlight w:val="none"/>
        </w:rPr>
        <w:tab/>
      </w:r>
      <w:r>
        <w:rPr>
          <w:b/>
          <w:bCs/>
          <w:highlight w:val="none"/>
        </w:rPr>
        <w:fldChar w:fldCharType="begin"/>
      </w:r>
      <w:r>
        <w:rPr>
          <w:b/>
          <w:bCs/>
          <w:highlight w:val="none"/>
        </w:rPr>
        <w:instrText xml:space="preserve"> PAGEREF _Toc24676 \h </w:instrText>
      </w:r>
      <w:r>
        <w:rPr>
          <w:b/>
          <w:bCs/>
          <w:highlight w:val="none"/>
        </w:rPr>
        <w:fldChar w:fldCharType="separate"/>
      </w:r>
      <w:r>
        <w:rPr>
          <w:b/>
          <w:bCs/>
          <w:highlight w:val="none"/>
        </w:rPr>
        <w:t>1</w:t>
      </w:r>
      <w:r>
        <w:rPr>
          <w:b/>
          <w:bCs/>
          <w:highlight w:val="none"/>
        </w:rPr>
        <w:fldChar w:fldCharType="end"/>
      </w:r>
      <w:r>
        <w:rPr>
          <w:b/>
          <w:bCs/>
          <w:highlight w:val="none"/>
        </w:rPr>
        <w:fldChar w:fldCharType="end"/>
      </w:r>
    </w:p>
    <w:p w14:paraId="468B3F0D">
      <w:pPr>
        <w:pStyle w:val="14"/>
        <w:tabs>
          <w:tab w:val="right" w:leader="dot" w:pos="8890"/>
        </w:tabs>
        <w:spacing w:line="480" w:lineRule="auto"/>
        <w:rPr>
          <w:b/>
          <w:bCs/>
          <w:highlight w:val="none"/>
        </w:rPr>
      </w:pPr>
      <w:r>
        <w:rPr>
          <w:b/>
          <w:bCs/>
          <w:highlight w:val="none"/>
        </w:rPr>
        <w:fldChar w:fldCharType="begin"/>
      </w:r>
      <w:r>
        <w:rPr>
          <w:b/>
          <w:bCs/>
          <w:highlight w:val="none"/>
        </w:rPr>
        <w:instrText xml:space="preserve"> HYPERLINK \l _Toc17991 </w:instrText>
      </w:r>
      <w:r>
        <w:rPr>
          <w:b/>
          <w:bCs/>
          <w:highlight w:val="none"/>
        </w:rPr>
        <w:fldChar w:fldCharType="separate"/>
      </w:r>
      <w:r>
        <w:rPr>
          <w:rFonts w:hint="eastAsia" w:ascii="宋体" w:hAnsi="宋体"/>
          <w:b/>
          <w:bCs/>
          <w:szCs w:val="32"/>
          <w:highlight w:val="none"/>
        </w:rPr>
        <w:t>第二章 供应商须知</w:t>
      </w:r>
      <w:r>
        <w:rPr>
          <w:b/>
          <w:bCs/>
          <w:highlight w:val="none"/>
        </w:rPr>
        <w:tab/>
      </w:r>
      <w:r>
        <w:rPr>
          <w:b/>
          <w:bCs/>
          <w:highlight w:val="none"/>
        </w:rPr>
        <w:fldChar w:fldCharType="begin"/>
      </w:r>
      <w:r>
        <w:rPr>
          <w:b/>
          <w:bCs/>
          <w:highlight w:val="none"/>
        </w:rPr>
        <w:instrText xml:space="preserve"> PAGEREF _Toc17991 \h </w:instrText>
      </w:r>
      <w:r>
        <w:rPr>
          <w:b/>
          <w:bCs/>
          <w:highlight w:val="none"/>
        </w:rPr>
        <w:fldChar w:fldCharType="separate"/>
      </w:r>
      <w:r>
        <w:rPr>
          <w:b/>
          <w:bCs/>
          <w:highlight w:val="none"/>
        </w:rPr>
        <w:t>3</w:t>
      </w:r>
      <w:r>
        <w:rPr>
          <w:b/>
          <w:bCs/>
          <w:highlight w:val="none"/>
        </w:rPr>
        <w:fldChar w:fldCharType="end"/>
      </w:r>
      <w:r>
        <w:rPr>
          <w:b/>
          <w:bCs/>
          <w:highlight w:val="none"/>
        </w:rPr>
        <w:fldChar w:fldCharType="end"/>
      </w:r>
    </w:p>
    <w:p w14:paraId="3E3B8ABA">
      <w:pPr>
        <w:pStyle w:val="14"/>
        <w:tabs>
          <w:tab w:val="right" w:leader="dot" w:pos="8890"/>
        </w:tabs>
        <w:spacing w:line="480" w:lineRule="auto"/>
        <w:rPr>
          <w:rFonts w:hint="eastAsia" w:eastAsia="宋体"/>
          <w:b/>
          <w:bCs/>
          <w:highlight w:val="none"/>
          <w:lang w:val="en-US" w:eastAsia="zh-CN"/>
        </w:rPr>
      </w:pPr>
      <w:r>
        <w:rPr>
          <w:b/>
          <w:bCs/>
          <w:highlight w:val="none"/>
        </w:rPr>
        <w:fldChar w:fldCharType="begin"/>
      </w:r>
      <w:r>
        <w:rPr>
          <w:b/>
          <w:bCs/>
          <w:highlight w:val="none"/>
        </w:rPr>
        <w:instrText xml:space="preserve"> HYPERLINK \l _Toc14598 </w:instrText>
      </w:r>
      <w:r>
        <w:rPr>
          <w:b/>
          <w:bCs/>
          <w:highlight w:val="none"/>
        </w:rPr>
        <w:fldChar w:fldCharType="separate"/>
      </w:r>
      <w:r>
        <w:rPr>
          <w:rFonts w:hint="eastAsia" w:ascii="宋体" w:hAnsi="宋体"/>
          <w:b/>
          <w:bCs/>
          <w:szCs w:val="32"/>
          <w:highlight w:val="none"/>
        </w:rPr>
        <w:t>第三章 采购需求</w:t>
      </w:r>
      <w:r>
        <w:rPr>
          <w:b/>
          <w:bCs/>
          <w:highlight w:val="none"/>
        </w:rPr>
        <w:tab/>
      </w:r>
      <w:r>
        <w:rPr>
          <w:rFonts w:hint="eastAsia"/>
          <w:b/>
          <w:bCs/>
          <w:highlight w:val="none"/>
          <w:lang w:val="en-US" w:eastAsia="zh-CN"/>
        </w:rPr>
        <w:t>2</w:t>
      </w:r>
      <w:r>
        <w:rPr>
          <w:b/>
          <w:bCs/>
          <w:highlight w:val="none"/>
        </w:rPr>
        <w:fldChar w:fldCharType="end"/>
      </w:r>
      <w:r>
        <w:rPr>
          <w:rFonts w:hint="eastAsia"/>
          <w:b/>
          <w:bCs/>
          <w:highlight w:val="none"/>
          <w:lang w:val="en-US" w:eastAsia="zh-CN"/>
        </w:rPr>
        <w:t>3</w:t>
      </w:r>
    </w:p>
    <w:p w14:paraId="487E2305">
      <w:pPr>
        <w:pStyle w:val="14"/>
        <w:tabs>
          <w:tab w:val="right" w:leader="dot" w:pos="8890"/>
        </w:tabs>
        <w:spacing w:line="480" w:lineRule="auto"/>
        <w:rPr>
          <w:b/>
          <w:bCs/>
          <w:highlight w:val="none"/>
        </w:rPr>
      </w:pPr>
      <w:r>
        <w:rPr>
          <w:b/>
          <w:bCs/>
          <w:highlight w:val="none"/>
        </w:rPr>
        <w:fldChar w:fldCharType="begin"/>
      </w:r>
      <w:r>
        <w:rPr>
          <w:b/>
          <w:bCs/>
          <w:highlight w:val="none"/>
        </w:rPr>
        <w:instrText xml:space="preserve"> HYPERLINK \l _Toc24605 </w:instrText>
      </w:r>
      <w:r>
        <w:rPr>
          <w:b/>
          <w:bCs/>
          <w:highlight w:val="none"/>
        </w:rPr>
        <w:fldChar w:fldCharType="separate"/>
      </w:r>
      <w:r>
        <w:rPr>
          <w:rFonts w:hint="eastAsia" w:ascii="宋体" w:hAnsi="宋体"/>
          <w:b/>
          <w:bCs/>
          <w:szCs w:val="32"/>
          <w:highlight w:val="none"/>
        </w:rPr>
        <w:t>第四章 评审方法和标准</w:t>
      </w:r>
      <w:r>
        <w:rPr>
          <w:b/>
          <w:bCs/>
          <w:highlight w:val="none"/>
        </w:rPr>
        <w:tab/>
      </w:r>
      <w:r>
        <w:rPr>
          <w:b/>
          <w:bCs/>
          <w:highlight w:val="none"/>
        </w:rPr>
        <w:fldChar w:fldCharType="begin"/>
      </w:r>
      <w:r>
        <w:rPr>
          <w:b/>
          <w:bCs/>
          <w:highlight w:val="none"/>
        </w:rPr>
        <w:instrText xml:space="preserve"> PAGEREF _Toc24605 \h </w:instrText>
      </w:r>
      <w:r>
        <w:rPr>
          <w:b/>
          <w:bCs/>
          <w:highlight w:val="none"/>
        </w:rPr>
        <w:fldChar w:fldCharType="separate"/>
      </w:r>
      <w:r>
        <w:rPr>
          <w:b/>
          <w:bCs/>
          <w:highlight w:val="none"/>
        </w:rPr>
        <w:t>2</w:t>
      </w:r>
      <w:r>
        <w:rPr>
          <w:rFonts w:hint="eastAsia"/>
          <w:b/>
          <w:bCs/>
          <w:highlight w:val="none"/>
          <w:lang w:val="en-US" w:eastAsia="zh-CN"/>
        </w:rPr>
        <w:t>4</w:t>
      </w:r>
      <w:r>
        <w:rPr>
          <w:b/>
          <w:bCs/>
          <w:highlight w:val="none"/>
        </w:rPr>
        <w:fldChar w:fldCharType="end"/>
      </w:r>
      <w:r>
        <w:rPr>
          <w:b/>
          <w:bCs/>
          <w:highlight w:val="none"/>
        </w:rPr>
        <w:fldChar w:fldCharType="end"/>
      </w:r>
    </w:p>
    <w:p w14:paraId="7ECD3C80">
      <w:pPr>
        <w:pStyle w:val="14"/>
        <w:tabs>
          <w:tab w:val="right" w:leader="dot" w:pos="8890"/>
        </w:tabs>
        <w:spacing w:line="480" w:lineRule="auto"/>
        <w:rPr>
          <w:b/>
          <w:bCs/>
          <w:highlight w:val="none"/>
        </w:rPr>
      </w:pPr>
      <w:r>
        <w:rPr>
          <w:b/>
          <w:bCs/>
          <w:highlight w:val="none"/>
        </w:rPr>
        <w:fldChar w:fldCharType="begin"/>
      </w:r>
      <w:r>
        <w:rPr>
          <w:b/>
          <w:bCs/>
          <w:highlight w:val="none"/>
        </w:rPr>
        <w:instrText xml:space="preserve"> HYPERLINK \l _Toc30352 </w:instrText>
      </w:r>
      <w:r>
        <w:rPr>
          <w:b/>
          <w:bCs/>
          <w:highlight w:val="none"/>
        </w:rPr>
        <w:fldChar w:fldCharType="separate"/>
      </w:r>
      <w:r>
        <w:rPr>
          <w:rFonts w:hint="eastAsia" w:ascii="宋体" w:hAnsi="宋体"/>
          <w:b/>
          <w:bCs/>
          <w:szCs w:val="32"/>
          <w:highlight w:val="none"/>
        </w:rPr>
        <w:t>第五章 采购合同</w:t>
      </w:r>
      <w:r>
        <w:rPr>
          <w:b/>
          <w:bCs/>
          <w:highlight w:val="none"/>
        </w:rPr>
        <w:tab/>
      </w:r>
      <w:r>
        <w:rPr>
          <w:b/>
          <w:bCs/>
          <w:highlight w:val="none"/>
        </w:rPr>
        <w:fldChar w:fldCharType="begin"/>
      </w:r>
      <w:r>
        <w:rPr>
          <w:b/>
          <w:bCs/>
          <w:highlight w:val="none"/>
        </w:rPr>
        <w:instrText xml:space="preserve"> PAGEREF _Toc30352 \h </w:instrText>
      </w:r>
      <w:r>
        <w:rPr>
          <w:b/>
          <w:bCs/>
          <w:highlight w:val="none"/>
        </w:rPr>
        <w:fldChar w:fldCharType="separate"/>
      </w:r>
      <w:r>
        <w:rPr>
          <w:b/>
          <w:bCs/>
          <w:highlight w:val="none"/>
        </w:rPr>
        <w:t>2</w:t>
      </w:r>
      <w:r>
        <w:rPr>
          <w:rFonts w:hint="eastAsia"/>
          <w:b/>
          <w:bCs/>
          <w:highlight w:val="none"/>
          <w:lang w:val="en-US" w:eastAsia="zh-CN"/>
        </w:rPr>
        <w:t>7</w:t>
      </w:r>
      <w:r>
        <w:rPr>
          <w:b/>
          <w:bCs/>
          <w:highlight w:val="none"/>
        </w:rPr>
        <w:fldChar w:fldCharType="end"/>
      </w:r>
      <w:r>
        <w:rPr>
          <w:b/>
          <w:bCs/>
          <w:highlight w:val="none"/>
        </w:rPr>
        <w:fldChar w:fldCharType="end"/>
      </w:r>
    </w:p>
    <w:p w14:paraId="60ABE377">
      <w:pPr>
        <w:pStyle w:val="14"/>
        <w:tabs>
          <w:tab w:val="right" w:leader="dot" w:pos="8890"/>
        </w:tabs>
        <w:spacing w:line="480" w:lineRule="auto"/>
        <w:rPr>
          <w:highlight w:val="none"/>
        </w:rPr>
      </w:pPr>
      <w:r>
        <w:rPr>
          <w:b/>
          <w:bCs/>
          <w:highlight w:val="none"/>
        </w:rPr>
        <w:fldChar w:fldCharType="begin"/>
      </w:r>
      <w:r>
        <w:rPr>
          <w:b/>
          <w:bCs/>
          <w:highlight w:val="none"/>
        </w:rPr>
        <w:instrText xml:space="preserve"> HYPERLINK \l _Toc19729 </w:instrText>
      </w:r>
      <w:r>
        <w:rPr>
          <w:b/>
          <w:bCs/>
          <w:highlight w:val="none"/>
        </w:rPr>
        <w:fldChar w:fldCharType="separate"/>
      </w:r>
      <w:r>
        <w:rPr>
          <w:rFonts w:hint="eastAsia" w:ascii="宋体" w:hAnsi="宋体"/>
          <w:b/>
          <w:bCs/>
          <w:szCs w:val="32"/>
          <w:highlight w:val="none"/>
        </w:rPr>
        <w:t>第六章 响应文件格式</w:t>
      </w:r>
      <w:r>
        <w:rPr>
          <w:b/>
          <w:bCs/>
          <w:highlight w:val="none"/>
        </w:rPr>
        <w:tab/>
      </w:r>
      <w:r>
        <w:rPr>
          <w:b/>
          <w:bCs/>
          <w:highlight w:val="none"/>
        </w:rPr>
        <w:fldChar w:fldCharType="begin"/>
      </w:r>
      <w:r>
        <w:rPr>
          <w:b/>
          <w:bCs/>
          <w:highlight w:val="none"/>
        </w:rPr>
        <w:instrText xml:space="preserve"> PAGEREF _Toc19729 \h </w:instrText>
      </w:r>
      <w:r>
        <w:rPr>
          <w:b/>
          <w:bCs/>
          <w:highlight w:val="none"/>
        </w:rPr>
        <w:fldChar w:fldCharType="separate"/>
      </w:r>
      <w:r>
        <w:rPr>
          <w:b/>
          <w:bCs/>
          <w:highlight w:val="none"/>
        </w:rPr>
        <w:t>3</w:t>
      </w:r>
      <w:r>
        <w:rPr>
          <w:rFonts w:hint="eastAsia"/>
          <w:b/>
          <w:bCs/>
          <w:highlight w:val="none"/>
          <w:lang w:val="en-US" w:eastAsia="zh-CN"/>
        </w:rPr>
        <w:t>6</w:t>
      </w:r>
      <w:r>
        <w:rPr>
          <w:b/>
          <w:bCs/>
          <w:highlight w:val="none"/>
        </w:rPr>
        <w:fldChar w:fldCharType="end"/>
      </w:r>
      <w:r>
        <w:rPr>
          <w:b/>
          <w:bCs/>
          <w:highlight w:val="none"/>
        </w:rPr>
        <w:fldChar w:fldCharType="end"/>
      </w:r>
    </w:p>
    <w:p w14:paraId="63B1DBF7">
      <w:pPr>
        <w:spacing w:line="480" w:lineRule="auto"/>
        <w:rPr>
          <w:b/>
          <w:bCs/>
          <w:highlight w:val="none"/>
        </w:rPr>
      </w:pPr>
      <w:r>
        <w:rPr>
          <w:bCs/>
          <w:highlight w:val="none"/>
        </w:rPr>
        <w:fldChar w:fldCharType="end"/>
      </w:r>
    </w:p>
    <w:p w14:paraId="06C8FAB3">
      <w:pPr>
        <w:widowControl/>
        <w:jc w:val="left"/>
        <w:rPr>
          <w:rFonts w:ascii="宋体" w:hAnsi="宋体"/>
          <w:highlight w:val="none"/>
        </w:rPr>
        <w:sectPr>
          <w:pgSz w:w="11910" w:h="16840"/>
          <w:pgMar w:top="1380" w:right="1440" w:bottom="1500" w:left="1580" w:header="877" w:footer="1304" w:gutter="0"/>
          <w:cols w:space="720" w:num="1"/>
        </w:sectPr>
      </w:pPr>
    </w:p>
    <w:p w14:paraId="07EF26EC">
      <w:pPr>
        <w:pStyle w:val="10"/>
        <w:rPr>
          <w:highlight w:val="none"/>
        </w:rPr>
      </w:pPr>
    </w:p>
    <w:p w14:paraId="06D60CDE">
      <w:pPr>
        <w:pStyle w:val="5"/>
        <w:numPr>
          <w:ilvl w:val="0"/>
          <w:numId w:val="0"/>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0" w:name="_Toc24676"/>
      <w:bookmarkStart w:id="1" w:name="OLE_LINK1"/>
      <w:r>
        <w:rPr>
          <w:rFonts w:hint="eastAsia" w:ascii="宋体" w:hAnsi="宋体" w:eastAsia="宋体" w:cs="Times New Roman"/>
          <w:b/>
          <w:bCs/>
          <w:kern w:val="44"/>
          <w:sz w:val="32"/>
          <w:szCs w:val="32"/>
          <w:lang w:val="en-US" w:eastAsia="zh-CN" w:bidi="ar-SA"/>
        </w:rPr>
        <w:t>第一章</w:t>
      </w:r>
      <w:r>
        <w:rPr>
          <w:rFonts w:hint="eastAsia" w:ascii="宋体" w:hAnsi="宋体"/>
          <w:sz w:val="32"/>
          <w:szCs w:val="32"/>
          <w:highlight w:val="none"/>
        </w:rPr>
        <w:t>竞争性</w:t>
      </w:r>
      <w:r>
        <w:rPr>
          <w:rFonts w:hint="eastAsia" w:ascii="宋体" w:hAnsi="宋体"/>
          <w:sz w:val="32"/>
          <w:szCs w:val="32"/>
          <w:highlight w:val="none"/>
          <w:lang w:eastAsia="zh-CN"/>
        </w:rPr>
        <w:t>谈判</w:t>
      </w:r>
      <w:r>
        <w:rPr>
          <w:rFonts w:hint="eastAsia" w:ascii="宋体" w:hAnsi="宋体"/>
          <w:sz w:val="32"/>
          <w:szCs w:val="32"/>
          <w:highlight w:val="none"/>
        </w:rPr>
        <w:t>公告</w:t>
      </w:r>
      <w:bookmarkEnd w:id="0"/>
    </w:p>
    <w:bookmarkEnd w:id="1"/>
    <w:p w14:paraId="31D517CF">
      <w:pPr>
        <w:pStyle w:val="6"/>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 w:name="_Toc3037"/>
      <w:bookmarkStart w:id="3" w:name="_Toc28359089"/>
      <w:bookmarkStart w:id="4" w:name="_Toc35393798"/>
      <w:bookmarkStart w:id="5" w:name="_Toc28359012"/>
      <w:bookmarkStart w:id="6" w:name="_Toc23481"/>
      <w:bookmarkStart w:id="7" w:name="_Toc35393629"/>
      <w:bookmarkStart w:id="8" w:name="_Toc3172"/>
      <w:bookmarkStart w:id="9" w:name="_Toc7080"/>
      <w:r>
        <w:rPr>
          <w:rFonts w:hint="eastAsia" w:ascii="宋体" w:hAnsi="宋体" w:eastAsia="宋体"/>
          <w:b/>
          <w:i w:val="0"/>
          <w:kern w:val="2"/>
          <w:sz w:val="21"/>
          <w:szCs w:val="21"/>
          <w:highlight w:val="none"/>
          <w:lang w:val="en-US" w:bidi="ar-SA"/>
        </w:rPr>
        <w:t>项目概况</w:t>
      </w:r>
      <w:bookmarkEnd w:id="2"/>
    </w:p>
    <w:p w14:paraId="02F23429">
      <w:pPr>
        <w:spacing w:line="360" w:lineRule="auto"/>
        <w:ind w:firstLine="420" w:firstLineChars="200"/>
        <w:jc w:val="left"/>
        <w:rPr>
          <w:rFonts w:hint="eastAsia" w:ascii="宋体" w:hAnsi="宋体" w:eastAsia="宋体"/>
          <w:b/>
          <w:i w:val="0"/>
          <w:kern w:val="2"/>
          <w:sz w:val="21"/>
          <w:szCs w:val="21"/>
          <w:highlight w:val="none"/>
          <w:lang w:val="en-US" w:bidi="ar-SA"/>
        </w:rPr>
      </w:pPr>
      <w:r>
        <w:rPr>
          <w:rFonts w:hint="eastAsia" w:ascii="宋体" w:hAnsi="宋体" w:cs="Times New Roman"/>
          <w:b w:val="0"/>
          <w:bCs w:val="0"/>
          <w:kern w:val="2"/>
          <w:sz w:val="21"/>
          <w:szCs w:val="21"/>
          <w:highlight w:val="none"/>
          <w:lang w:val="en-US" w:eastAsia="zh-CN" w:bidi="ar-SA"/>
        </w:rPr>
        <w:t>中致远工程管理咨询有限公司受安徽融城高新技术产业发展集团有限公司委托，现对安徽融城高新技术产业发展集团有限公司界首市军用特种服饰生产和研发军民融合示范园项目（一期）检测进行招标，欢迎符合条件的供应商参加响应，并于2026年5月22日15点00分（北京时间）前递交响应文件。</w:t>
      </w:r>
    </w:p>
    <w:p w14:paraId="38165A0A">
      <w:pPr>
        <w:pStyle w:val="6"/>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10" w:name="_Toc3593"/>
      <w:r>
        <w:rPr>
          <w:rFonts w:hint="eastAsia" w:ascii="宋体" w:hAnsi="宋体" w:eastAsia="宋体"/>
          <w:b/>
          <w:i w:val="0"/>
          <w:kern w:val="2"/>
          <w:sz w:val="21"/>
          <w:szCs w:val="21"/>
          <w:highlight w:val="none"/>
          <w:lang w:val="en-US" w:bidi="ar-SA"/>
        </w:rPr>
        <w:t>一、项目基本情况</w:t>
      </w:r>
      <w:bookmarkEnd w:id="3"/>
      <w:bookmarkEnd w:id="4"/>
      <w:bookmarkEnd w:id="5"/>
      <w:bookmarkEnd w:id="6"/>
      <w:bookmarkEnd w:id="7"/>
      <w:bookmarkEnd w:id="8"/>
      <w:bookmarkEnd w:id="9"/>
      <w:bookmarkEnd w:id="10"/>
    </w:p>
    <w:p w14:paraId="0380B302">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r>
        <w:rPr>
          <w:rFonts w:hint="eastAsia" w:ascii="宋体" w:hAnsi="宋体" w:cs="Times New Roman"/>
          <w:sz w:val="21"/>
          <w:szCs w:val="21"/>
          <w:highlight w:val="none"/>
          <w:lang w:val="en-US" w:eastAsia="zh-CN"/>
        </w:rPr>
        <w:t>安徽融城高新技术产业发展集团有限公司界首市军用特种服饰生产和研发军民融合示范园项目（一期）检测</w:t>
      </w:r>
    </w:p>
    <w:p w14:paraId="3D5AD42F">
      <w:pPr>
        <w:spacing w:line="360" w:lineRule="auto"/>
        <w:ind w:firstLine="420" w:firstLineChars="200"/>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项目编号：</w:t>
      </w:r>
      <w:r>
        <w:rPr>
          <w:rFonts w:hint="eastAsia" w:ascii="宋体" w:hAnsi="宋体" w:cs="Times New Roman"/>
          <w:sz w:val="21"/>
          <w:szCs w:val="21"/>
          <w:highlight w:val="none"/>
          <w:lang w:val="en-US" w:eastAsia="zh-CN"/>
        </w:rPr>
        <w:t xml:space="preserve">ZZY-20260518 </w:t>
      </w:r>
    </w:p>
    <w:p w14:paraId="199F3AB4">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采购方式：竞争性</w:t>
      </w:r>
      <w:r>
        <w:rPr>
          <w:rFonts w:hint="eastAsia" w:ascii="宋体" w:hAnsi="宋体" w:cs="Times New Roman"/>
          <w:sz w:val="21"/>
          <w:szCs w:val="21"/>
          <w:highlight w:val="none"/>
          <w:lang w:val="en-US" w:eastAsia="zh-CN"/>
        </w:rPr>
        <w:t>谈判</w:t>
      </w:r>
    </w:p>
    <w:p w14:paraId="091D6550">
      <w:pPr>
        <w:spacing w:line="360" w:lineRule="auto"/>
        <w:ind w:firstLine="420" w:firstLineChars="200"/>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预算金额：</w:t>
      </w:r>
      <w:r>
        <w:rPr>
          <w:rFonts w:hint="eastAsia" w:ascii="宋体" w:hAnsi="宋体" w:cs="Times New Roman"/>
          <w:sz w:val="21"/>
          <w:szCs w:val="21"/>
          <w:highlight w:val="none"/>
          <w:lang w:val="en-US" w:eastAsia="zh-CN"/>
        </w:rPr>
        <w:t>29.6</w:t>
      </w:r>
      <w:r>
        <w:rPr>
          <w:rFonts w:hint="eastAsia" w:ascii="宋体" w:hAnsi="宋体" w:eastAsia="宋体" w:cs="Times New Roman"/>
          <w:sz w:val="21"/>
          <w:szCs w:val="21"/>
          <w:highlight w:val="none"/>
          <w:lang w:val="en-US" w:eastAsia="zh-CN"/>
        </w:rPr>
        <w:t xml:space="preserve">万元 </w:t>
      </w:r>
    </w:p>
    <w:p w14:paraId="39A4B4E0">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sz w:val="21"/>
          <w:szCs w:val="21"/>
          <w:highlight w:val="none"/>
          <w:lang w:val="en-US" w:eastAsia="zh-CN"/>
        </w:rPr>
        <w:t>项目概括</w:t>
      </w:r>
      <w:r>
        <w:rPr>
          <w:rFonts w:hint="eastAsia" w:ascii="宋体" w:hAnsi="宋体" w:eastAsia="宋体"/>
          <w:sz w:val="21"/>
          <w:szCs w:val="21"/>
          <w:highlight w:val="none"/>
        </w:rPr>
        <w:t>：</w:t>
      </w:r>
      <w:r>
        <w:rPr>
          <w:rFonts w:hint="eastAsia" w:ascii="宋体" w:hAnsi="宋体" w:cs="Times New Roman"/>
          <w:sz w:val="21"/>
          <w:szCs w:val="21"/>
          <w:highlight w:val="none"/>
          <w:lang w:val="en-US" w:eastAsia="zh-CN"/>
        </w:rPr>
        <w:t>安徽融城高新技术产业发展集团有限公司界首市军用特种服饰生产和研发军民融合示范园项目（一期）总建设用地面积约90.42亩，其中新建标准化厂房约79582.56㎡、新建配电房约132㎡、新建办公综合楼约7638.2㎡、新建地下设备用房面积约417.96 ㎡、室外配套工程等，具体详见图纸及工程量清单</w:t>
      </w:r>
      <w:r>
        <w:rPr>
          <w:rFonts w:hint="eastAsia" w:ascii="宋体" w:hAnsi="宋体" w:eastAsia="宋体" w:cs="Times New Roman"/>
          <w:sz w:val="21"/>
          <w:szCs w:val="21"/>
          <w:highlight w:val="none"/>
          <w:lang w:val="en-US" w:eastAsia="zh-CN"/>
        </w:rPr>
        <w:t>。</w:t>
      </w:r>
    </w:p>
    <w:p w14:paraId="6068F1F4">
      <w:pPr>
        <w:spacing w:line="360" w:lineRule="auto"/>
        <w:ind w:firstLine="420" w:firstLineChars="200"/>
        <w:jc w:val="left"/>
        <w:rPr>
          <w:rFonts w:hint="eastAsia" w:ascii="宋体" w:hAnsi="宋体" w:eastAsia="宋体"/>
          <w:sz w:val="21"/>
          <w:szCs w:val="21"/>
          <w:highlight w:val="none"/>
        </w:rPr>
      </w:pPr>
      <w:r>
        <w:rPr>
          <w:rFonts w:hint="eastAsia" w:ascii="宋体" w:hAnsi="宋体" w:eastAsia="宋体"/>
          <w:sz w:val="21"/>
          <w:szCs w:val="21"/>
          <w:highlight w:val="none"/>
        </w:rPr>
        <w:t>采购</w:t>
      </w:r>
      <w:r>
        <w:rPr>
          <w:rFonts w:hint="eastAsia" w:ascii="宋体" w:hAnsi="宋体" w:eastAsia="宋体"/>
          <w:sz w:val="21"/>
          <w:szCs w:val="21"/>
          <w:highlight w:val="none"/>
          <w:lang w:val="en-US" w:eastAsia="zh-CN"/>
        </w:rPr>
        <w:t>范围</w:t>
      </w:r>
      <w:r>
        <w:rPr>
          <w:rFonts w:hint="eastAsia" w:ascii="宋体" w:hAnsi="宋体"/>
          <w:sz w:val="21"/>
          <w:szCs w:val="21"/>
          <w:highlight w:val="none"/>
          <w:lang w:val="en-US" w:eastAsia="zh-CN"/>
        </w:rPr>
        <w:t>：检测内容包括但不限于项目范围内的所有专项检测、见证取样检测等。包括但不限于地基与基础工程、主体结构工程（建筑、结构）、人防工程、内外装饰工程（室内环境检测、铝合金窗及百叶、建筑幕墙工程、屋面工程等）、电气工程、给排水工程、消防工程、通风与空调、智能化、亮化、室外工程（园林景观、道路、综合管网、消防、智能化、电力排管、排水检测、水质检测等）、建筑节能等所有工程至全部工程验收合格、竣工验收备案为止的所有检测。项目的检测内容、数量及频率按照国家相关规范的规定取定，如有建设主管部门相关特殊要求按规定执行。具体检测业务以委托人任务书为准。对于合同清单内未列明但国家规范强制要求必须检测的项目，视为已包含在合同总价中，乙方不得另行收费。</w:t>
      </w:r>
    </w:p>
    <w:p w14:paraId="2EB8901A">
      <w:pPr>
        <w:spacing w:line="360" w:lineRule="auto"/>
        <w:ind w:firstLine="420" w:firstLineChars="200"/>
        <w:jc w:val="left"/>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服务</w:t>
      </w:r>
      <w:r>
        <w:rPr>
          <w:rFonts w:hint="eastAsia" w:ascii="宋体" w:hAnsi="宋体" w:eastAsia="宋体" w:cs="Times New Roman"/>
          <w:sz w:val="21"/>
          <w:szCs w:val="21"/>
          <w:highlight w:val="none"/>
        </w:rPr>
        <w:t>期限：</w:t>
      </w:r>
      <w:r>
        <w:rPr>
          <w:rFonts w:hint="eastAsia" w:ascii="宋体" w:hAnsi="宋体" w:cs="Times New Roman"/>
          <w:sz w:val="21"/>
          <w:szCs w:val="21"/>
          <w:highlight w:val="none"/>
          <w:lang w:val="en-US" w:eastAsia="zh-CN"/>
        </w:rPr>
        <w:t>自合同签订之日起至项目</w:t>
      </w:r>
      <w:r>
        <w:rPr>
          <w:rFonts w:hint="eastAsia" w:cs="宋体"/>
          <w:kern w:val="0"/>
          <w:sz w:val="21"/>
          <w:szCs w:val="21"/>
          <w:highlight w:val="none"/>
          <w:lang w:val="en-US" w:eastAsia="zh-CN" w:bidi="zh-CN"/>
        </w:rPr>
        <w:t>竣工验收备案移交止</w:t>
      </w:r>
      <w:r>
        <w:rPr>
          <w:rFonts w:hint="eastAsia" w:ascii="宋体" w:hAnsi="宋体" w:eastAsia="宋体" w:cs="Times New Roman"/>
          <w:sz w:val="21"/>
          <w:szCs w:val="21"/>
          <w:highlight w:val="none"/>
          <w:lang w:eastAsia="zh-CN"/>
        </w:rPr>
        <w:t>。</w:t>
      </w:r>
    </w:p>
    <w:p w14:paraId="28829D10">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w:t>
      </w:r>
      <w:r>
        <w:rPr>
          <w:rFonts w:hint="eastAsia" w:ascii="宋体" w:hAnsi="宋体" w:eastAsia="宋体" w:cs="Times New Roman"/>
          <w:sz w:val="21"/>
          <w:szCs w:val="21"/>
          <w:highlight w:val="none"/>
          <w:lang w:val="en-US" w:eastAsia="zh-CN"/>
        </w:rPr>
        <w:t>不接</w:t>
      </w:r>
      <w:r>
        <w:rPr>
          <w:rFonts w:hint="eastAsia" w:ascii="宋体" w:hAnsi="宋体" w:eastAsia="宋体" w:cs="Times New Roman"/>
          <w:sz w:val="21"/>
          <w:szCs w:val="21"/>
          <w:highlight w:val="none"/>
        </w:rPr>
        <w:t>受联合体。</w:t>
      </w:r>
    </w:p>
    <w:p w14:paraId="45BDAE82">
      <w:pPr>
        <w:pStyle w:val="6"/>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11" w:name="_Toc35393630"/>
      <w:bookmarkStart w:id="12" w:name="_Toc12596"/>
      <w:bookmarkStart w:id="13" w:name="_Toc28359013"/>
      <w:bookmarkStart w:id="14" w:name="_Toc20475"/>
      <w:bookmarkStart w:id="15" w:name="_Toc3808"/>
      <w:bookmarkStart w:id="16" w:name="_Toc35393799"/>
      <w:bookmarkStart w:id="17" w:name="_Toc27951"/>
      <w:bookmarkStart w:id="18" w:name="_Toc28359090"/>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518355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highlight w:val="none"/>
          <w:lang w:val="en-US" w:eastAsia="zh-CN"/>
        </w:rPr>
      </w:pPr>
      <w:bookmarkStart w:id="19" w:name="_Toc28359091"/>
      <w:bookmarkStart w:id="20" w:name="_Toc35393631"/>
      <w:bookmarkStart w:id="21" w:name="_Toc35393800"/>
      <w:bookmarkStart w:id="22" w:name="_Toc28359014"/>
      <w:r>
        <w:rPr>
          <w:rFonts w:hint="eastAsia" w:ascii="宋体" w:hAnsi="宋体" w:eastAsia="宋体" w:cs="宋体"/>
          <w:highlight w:val="none"/>
          <w:lang w:val="en-US" w:eastAsia="zh-CN"/>
        </w:rPr>
        <w:t>1.满足《中华人民共和国政府采购法》第二十二条规定；</w:t>
      </w:r>
    </w:p>
    <w:p w14:paraId="464C54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olor w:val="000000"/>
          <w:sz w:val="28"/>
          <w:szCs w:val="28"/>
          <w:lang w:val="en-US" w:eastAsia="zh-CN"/>
        </w:rPr>
      </w:pPr>
      <w:r>
        <w:rPr>
          <w:rFonts w:hint="eastAsia" w:ascii="宋体" w:hAnsi="宋体" w:eastAsia="宋体" w:cs="宋体"/>
          <w:highlight w:val="none"/>
          <w:lang w:val="en-US" w:eastAsia="zh-CN"/>
        </w:rPr>
        <w:t>2.本项目的特定资格要求：建设主管部门颁发的建设工程质量检测机构资质证书（检测范围应包括见证取样检测、主体结构工程现场检测、建筑节能检测）资质，证书须在有效期内，并在人员、试验检测仪器设备方面具有相应的能力。</w:t>
      </w:r>
    </w:p>
    <w:bookmarkEnd w:id="19"/>
    <w:bookmarkEnd w:id="20"/>
    <w:bookmarkEnd w:id="21"/>
    <w:bookmarkEnd w:id="22"/>
    <w:p w14:paraId="1E03B7DB">
      <w:pPr>
        <w:pStyle w:val="6"/>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3" w:name="_Toc13138"/>
      <w:r>
        <w:rPr>
          <w:rFonts w:hint="eastAsia" w:ascii="宋体" w:hAnsi="宋体" w:eastAsia="宋体"/>
          <w:b/>
          <w:i w:val="0"/>
          <w:kern w:val="2"/>
          <w:sz w:val="21"/>
          <w:szCs w:val="21"/>
          <w:highlight w:val="none"/>
          <w:lang w:val="en-US" w:eastAsia="zh-CN" w:bidi="ar-SA"/>
        </w:rPr>
        <w:t>三</w:t>
      </w:r>
      <w:r>
        <w:rPr>
          <w:rFonts w:hint="eastAsia" w:ascii="宋体" w:hAnsi="宋体" w:eastAsia="宋体"/>
          <w:b/>
          <w:i w:val="0"/>
          <w:kern w:val="2"/>
          <w:sz w:val="21"/>
          <w:szCs w:val="21"/>
          <w:highlight w:val="none"/>
          <w:lang w:val="en-US" w:bidi="ar-SA"/>
        </w:rPr>
        <w:t>、</w:t>
      </w:r>
      <w:bookmarkEnd w:id="23"/>
      <w:r>
        <w:rPr>
          <w:rFonts w:hint="eastAsia" w:ascii="宋体" w:hAnsi="宋体" w:eastAsia="宋体"/>
          <w:b/>
          <w:i w:val="0"/>
          <w:kern w:val="2"/>
          <w:sz w:val="21"/>
          <w:szCs w:val="21"/>
          <w:highlight w:val="none"/>
          <w:lang w:val="en-US" w:bidi="ar-SA"/>
        </w:rPr>
        <w:t>获取采购文件</w:t>
      </w:r>
    </w:p>
    <w:p w14:paraId="7AF753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1、自采购公告发布之日起，凡有意参加的供应商，可在《安徽融城高新技术产业发展集团有限公司》网站获取竞争性</w:t>
      </w:r>
      <w:r>
        <w:rPr>
          <w:rFonts w:hint="eastAsia" w:ascii="宋体" w:hAnsi="宋体" w:cs="宋体"/>
          <w:highlight w:val="none"/>
          <w:lang w:val="en-US" w:eastAsia="zh-CN"/>
        </w:rPr>
        <w:t>谈判</w:t>
      </w:r>
      <w:r>
        <w:rPr>
          <w:rFonts w:hint="eastAsia" w:ascii="宋体" w:hAnsi="宋体" w:eastAsia="宋体" w:cs="宋体"/>
          <w:highlight w:val="none"/>
          <w:lang w:val="en-US" w:eastAsia="zh-CN"/>
        </w:rPr>
        <w:t>文件。</w:t>
      </w:r>
    </w:p>
    <w:p w14:paraId="26812D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仿宋" w:hAnsi="仿宋" w:eastAsia="仿宋"/>
          <w:color w:val="000000"/>
          <w:sz w:val="28"/>
          <w:szCs w:val="28"/>
        </w:rPr>
      </w:pPr>
      <w:r>
        <w:rPr>
          <w:rFonts w:hint="eastAsia" w:ascii="宋体" w:hAnsi="宋体" w:eastAsia="宋体" w:cs="宋体"/>
          <w:highlight w:val="none"/>
          <w:lang w:val="en-US" w:eastAsia="zh-CN"/>
        </w:rPr>
        <w:t>2、采购文件发售费用：500元/份，售后不退，递交响应文件同时交纳。未交纳采购文件费的，采购人将拒绝接受其响应文件。</w:t>
      </w:r>
      <w:r>
        <w:rPr>
          <w:rFonts w:ascii="仿宋" w:hAnsi="仿宋" w:eastAsia="仿宋"/>
          <w:color w:val="000000"/>
          <w:sz w:val="28"/>
          <w:szCs w:val="28"/>
        </w:rPr>
        <w:t xml:space="preserve">                  </w:t>
      </w:r>
      <w:bookmarkStart w:id="24" w:name="_Toc8508"/>
    </w:p>
    <w:p w14:paraId="29DD149E">
      <w:pPr>
        <w:pStyle w:val="10"/>
        <w:rPr>
          <w:rFonts w:hint="eastAsia"/>
          <w:lang w:val="en-US"/>
        </w:rPr>
      </w:pPr>
    </w:p>
    <w:p w14:paraId="4DDE40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b/>
          <w:i w:val="0"/>
          <w:kern w:val="2"/>
          <w:sz w:val="21"/>
          <w:szCs w:val="21"/>
          <w:highlight w:val="none"/>
          <w:lang w:val="en-US" w:bidi="ar-SA"/>
        </w:rPr>
      </w:pPr>
      <w:r>
        <w:rPr>
          <w:rFonts w:hint="eastAsia" w:ascii="宋体" w:hAnsi="宋体" w:eastAsia="宋体" w:cs="Times New Roman"/>
          <w:b/>
          <w:i w:val="0"/>
          <w:kern w:val="2"/>
          <w:sz w:val="21"/>
          <w:szCs w:val="21"/>
          <w:lang w:val="en-US" w:eastAsia="zh-CN" w:bidi="ar-SA"/>
        </w:rPr>
        <w:t>四、</w:t>
      </w:r>
      <w:r>
        <w:rPr>
          <w:rFonts w:hint="eastAsia" w:ascii="宋体" w:hAnsi="宋体" w:eastAsia="宋体"/>
          <w:b/>
          <w:i w:val="0"/>
          <w:kern w:val="2"/>
          <w:sz w:val="21"/>
          <w:szCs w:val="21"/>
          <w:highlight w:val="none"/>
          <w:lang w:val="en-US" w:bidi="ar-SA"/>
        </w:rPr>
        <w:t>响应文件提交时间、截止时间及地点</w:t>
      </w:r>
      <w:bookmarkEnd w:id="24"/>
    </w:p>
    <w:p w14:paraId="5A909F7A">
      <w:pPr>
        <w:pStyle w:val="10"/>
        <w:numPr>
          <w:ilvl w:val="0"/>
          <w:numId w:val="0"/>
        </w:numPr>
        <w:rPr>
          <w:rFonts w:hint="eastAsia"/>
          <w:lang w:val="en-US"/>
        </w:rPr>
      </w:pPr>
    </w:p>
    <w:p w14:paraId="5523873D">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1、响应文件递交的截止时间（响应截止时间）为2026年0</w:t>
      </w:r>
      <w:r>
        <w:rPr>
          <w:rFonts w:hint="eastAsia" w:ascii="宋体" w:hAnsi="宋体" w:cs="Times New Roman"/>
          <w:sz w:val="21"/>
          <w:szCs w:val="21"/>
          <w:highlight w:val="none"/>
          <w:lang w:val="en-US" w:eastAsia="zh-CN"/>
        </w:rPr>
        <w:t>5</w:t>
      </w:r>
      <w:r>
        <w:rPr>
          <w:rFonts w:hint="eastAsia" w:ascii="宋体" w:hAnsi="宋体" w:eastAsia="宋体" w:cs="Times New Roman"/>
          <w:sz w:val="21"/>
          <w:szCs w:val="21"/>
          <w:highlight w:val="none"/>
          <w:lang w:val="en-US" w:eastAsia="zh-CN"/>
        </w:rPr>
        <w:t>月</w:t>
      </w:r>
      <w:r>
        <w:rPr>
          <w:rFonts w:hint="eastAsia" w:ascii="宋体" w:hAnsi="宋体" w:cs="Times New Roman"/>
          <w:sz w:val="21"/>
          <w:szCs w:val="21"/>
          <w:highlight w:val="none"/>
          <w:lang w:val="en-US" w:eastAsia="zh-CN"/>
        </w:rPr>
        <w:t>22</w:t>
      </w:r>
      <w:r>
        <w:rPr>
          <w:rFonts w:hint="eastAsia" w:ascii="宋体" w:hAnsi="宋体" w:eastAsia="宋体" w:cs="Times New Roman"/>
          <w:sz w:val="21"/>
          <w:szCs w:val="21"/>
          <w:highlight w:val="none"/>
          <w:lang w:val="en-US" w:eastAsia="zh-CN"/>
        </w:rPr>
        <w:t>日15时00分（迟于截止时间递交的响应文件，将不予接受）</w:t>
      </w:r>
    </w:p>
    <w:p w14:paraId="6624EAB2">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w:t>
      </w:r>
      <w:bookmarkStart w:id="25" w:name="_Toc412647032"/>
      <w:bookmarkStart w:id="26" w:name="_Toc412647584"/>
      <w:bookmarkStart w:id="27" w:name="_Toc416271380"/>
      <w:bookmarkStart w:id="28" w:name="_Toc416271909"/>
      <w:r>
        <w:rPr>
          <w:rFonts w:hint="eastAsia" w:ascii="宋体" w:hAnsi="宋体" w:eastAsia="宋体" w:cs="Times New Roman"/>
          <w:sz w:val="21"/>
          <w:szCs w:val="21"/>
          <w:highlight w:val="none"/>
          <w:lang w:val="en-US" w:eastAsia="zh-CN"/>
        </w:rPr>
        <w:t>递交响应文件地点：</w:t>
      </w:r>
      <w:bookmarkEnd w:id="25"/>
      <w:bookmarkEnd w:id="26"/>
      <w:bookmarkEnd w:id="27"/>
      <w:bookmarkEnd w:id="28"/>
      <w:r>
        <w:rPr>
          <w:rFonts w:hint="eastAsia" w:ascii="宋体" w:hAnsi="宋体" w:eastAsia="宋体" w:cs="Times New Roman"/>
          <w:sz w:val="21"/>
          <w:szCs w:val="21"/>
          <w:highlight w:val="none"/>
          <w:lang w:val="en-US" w:eastAsia="zh-CN"/>
        </w:rPr>
        <w:t>界首市东城开发区创业广场6号楼（企业孵化器）301室。</w:t>
      </w:r>
    </w:p>
    <w:p w14:paraId="34BE879F">
      <w:pPr>
        <w:pStyle w:val="6"/>
        <w:keepNext/>
        <w:keepLines/>
        <w:autoSpaceDE/>
        <w:autoSpaceDN/>
        <w:spacing w:before="260" w:after="260" w:line="360" w:lineRule="auto"/>
        <w:ind w:left="0" w:right="0"/>
        <w:jc w:val="both"/>
      </w:pPr>
      <w:bookmarkStart w:id="29" w:name="_Toc27502"/>
      <w:r>
        <w:rPr>
          <w:rFonts w:hint="eastAsia" w:ascii="宋体" w:hAnsi="宋体" w:eastAsia="宋体"/>
          <w:b/>
          <w:i w:val="0"/>
          <w:kern w:val="2"/>
          <w:sz w:val="21"/>
          <w:szCs w:val="21"/>
          <w:highlight w:val="none"/>
          <w:lang w:val="en-US" w:eastAsia="zh-CN" w:bidi="ar-SA"/>
        </w:rPr>
        <w:t>五</w:t>
      </w:r>
      <w:r>
        <w:rPr>
          <w:rFonts w:hint="eastAsia" w:ascii="宋体" w:hAnsi="宋体" w:eastAsia="宋体"/>
          <w:b/>
          <w:i w:val="0"/>
          <w:kern w:val="2"/>
          <w:sz w:val="21"/>
          <w:szCs w:val="21"/>
          <w:highlight w:val="none"/>
          <w:lang w:val="en-US" w:bidi="ar-SA"/>
        </w:rPr>
        <w:t>、联系方式</w:t>
      </w:r>
      <w:bookmarkEnd w:id="29"/>
    </w:p>
    <w:p w14:paraId="7041F2EC">
      <w:pPr>
        <w:spacing w:line="360" w:lineRule="auto"/>
        <w:ind w:firstLine="420" w:firstLineChars="200"/>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（一）项目单位：</w:t>
      </w:r>
      <w:r>
        <w:rPr>
          <w:rFonts w:hint="eastAsia" w:ascii="宋体" w:hAnsi="宋体" w:cs="Times New Roman"/>
          <w:sz w:val="21"/>
          <w:szCs w:val="21"/>
          <w:highlight w:val="none"/>
          <w:lang w:val="en-US" w:eastAsia="zh-CN"/>
        </w:rPr>
        <w:t>安徽融城高新技术产业发展集团有限公司</w:t>
      </w:r>
    </w:p>
    <w:p w14:paraId="10338F9D">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地    址：安徽省界首市复兴路509号      </w:t>
      </w:r>
    </w:p>
    <w:p w14:paraId="01F06D77">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联 系 人: 沈先生</w:t>
      </w:r>
    </w:p>
    <w:p w14:paraId="6C3B32FD">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联系方式：15551</w:t>
      </w:r>
      <w:r>
        <w:rPr>
          <w:rFonts w:hint="eastAsia" w:ascii="宋体" w:hAnsi="宋体" w:cs="Times New Roman"/>
          <w:sz w:val="21"/>
          <w:szCs w:val="21"/>
          <w:highlight w:val="none"/>
          <w:lang w:val="en-US" w:eastAsia="zh-CN"/>
        </w:rPr>
        <w:t>3</w:t>
      </w:r>
      <w:r>
        <w:rPr>
          <w:rFonts w:hint="eastAsia" w:ascii="宋体" w:hAnsi="宋体" w:eastAsia="宋体" w:cs="Times New Roman"/>
          <w:sz w:val="21"/>
          <w:szCs w:val="21"/>
          <w:highlight w:val="none"/>
          <w:lang w:val="en-US" w:eastAsia="zh-CN"/>
        </w:rPr>
        <w:t xml:space="preserve">29299                          </w:t>
      </w:r>
    </w:p>
    <w:p w14:paraId="4519D6E9">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（二）采购代理机构：中致远工程管理咨询有限公司</w:t>
      </w:r>
    </w:p>
    <w:p w14:paraId="3E020934">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地  址：界首市东城开发区创业广场6号楼（企业孵化器）301室</w:t>
      </w:r>
    </w:p>
    <w:p w14:paraId="6F060297">
      <w:pPr>
        <w:spacing w:line="360" w:lineRule="auto"/>
        <w:ind w:firstLine="420" w:firstLineChars="200"/>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联系人：</w:t>
      </w:r>
      <w:r>
        <w:rPr>
          <w:rFonts w:hint="eastAsia" w:ascii="宋体" w:hAnsi="宋体" w:cs="Times New Roman"/>
          <w:sz w:val="21"/>
          <w:szCs w:val="21"/>
          <w:highlight w:val="none"/>
          <w:lang w:val="en-US" w:eastAsia="zh-CN"/>
        </w:rPr>
        <w:t>黄女士</w:t>
      </w:r>
    </w:p>
    <w:p w14:paraId="62C1FAD9">
      <w:pPr>
        <w:spacing w:line="360" w:lineRule="auto"/>
        <w:ind w:firstLine="420" w:firstLineChars="200"/>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电  话:</w:t>
      </w:r>
      <w:r>
        <w:rPr>
          <w:rFonts w:hint="eastAsia" w:ascii="宋体" w:hAnsi="宋体" w:eastAsia="宋体" w:cs="宋体"/>
          <w:b w:val="0"/>
          <w:sz w:val="21"/>
          <w:szCs w:val="21"/>
        </w:rPr>
        <w:t>15055859230</w:t>
      </w:r>
    </w:p>
    <w:p w14:paraId="51CA666A">
      <w:pPr>
        <w:pStyle w:val="16"/>
        <w:rPr>
          <w:rFonts w:hint="eastAsia" w:ascii="宋体" w:hAnsi="宋体" w:eastAsia="宋体" w:cs="Times New Roman"/>
          <w:i w:val="0"/>
          <w:sz w:val="21"/>
          <w:szCs w:val="21"/>
          <w:highlight w:val="none"/>
          <w:lang w:val="en-US" w:eastAsia="zh-CN"/>
        </w:rPr>
      </w:pPr>
    </w:p>
    <w:p w14:paraId="078A94CE">
      <w:pPr>
        <w:pStyle w:val="10"/>
        <w:rPr>
          <w:rFonts w:hint="eastAsia" w:ascii="宋体" w:hAnsi="宋体" w:eastAsia="宋体" w:cs="Times New Roman"/>
          <w:i w:val="0"/>
          <w:sz w:val="21"/>
          <w:szCs w:val="21"/>
          <w:highlight w:val="none"/>
          <w:lang w:val="en-US" w:eastAsia="zh-CN"/>
        </w:rPr>
      </w:pPr>
    </w:p>
    <w:p w14:paraId="406A1B2D">
      <w:pPr>
        <w:pStyle w:val="12"/>
        <w:rPr>
          <w:rFonts w:hint="eastAsia" w:ascii="宋体" w:hAnsi="宋体" w:eastAsia="宋体" w:cs="Times New Roman"/>
          <w:i w:val="0"/>
          <w:sz w:val="21"/>
          <w:szCs w:val="21"/>
          <w:highlight w:val="none"/>
          <w:lang w:val="en-US" w:eastAsia="zh-CN"/>
        </w:rPr>
      </w:pPr>
    </w:p>
    <w:p w14:paraId="2CAB4E7B">
      <w:pPr>
        <w:rPr>
          <w:rFonts w:hint="eastAsia" w:ascii="宋体" w:hAnsi="宋体" w:eastAsia="宋体" w:cs="Times New Roman"/>
          <w:i w:val="0"/>
          <w:sz w:val="21"/>
          <w:szCs w:val="21"/>
          <w:highlight w:val="none"/>
          <w:lang w:val="en-US" w:eastAsia="zh-CN"/>
        </w:rPr>
      </w:pPr>
    </w:p>
    <w:p w14:paraId="1CDEE21E">
      <w:pPr>
        <w:pStyle w:val="16"/>
        <w:rPr>
          <w:rFonts w:hint="eastAsia" w:ascii="宋体" w:hAnsi="宋体" w:eastAsia="宋体" w:cs="Times New Roman"/>
          <w:i w:val="0"/>
          <w:sz w:val="21"/>
          <w:szCs w:val="21"/>
          <w:highlight w:val="none"/>
          <w:lang w:val="en-US" w:eastAsia="zh-CN"/>
        </w:rPr>
      </w:pPr>
    </w:p>
    <w:p w14:paraId="10426E45">
      <w:pPr>
        <w:pStyle w:val="10"/>
        <w:rPr>
          <w:rFonts w:hint="eastAsia" w:ascii="宋体" w:hAnsi="宋体" w:eastAsia="宋体" w:cs="Times New Roman"/>
          <w:i w:val="0"/>
          <w:sz w:val="21"/>
          <w:szCs w:val="21"/>
          <w:highlight w:val="none"/>
          <w:lang w:val="en-US" w:eastAsia="zh-CN"/>
        </w:rPr>
      </w:pPr>
    </w:p>
    <w:p w14:paraId="47ECBA72">
      <w:pPr>
        <w:pStyle w:val="12"/>
        <w:rPr>
          <w:rFonts w:hint="eastAsia" w:ascii="宋体" w:hAnsi="宋体" w:eastAsia="宋体" w:cs="Times New Roman"/>
          <w:i w:val="0"/>
          <w:sz w:val="21"/>
          <w:szCs w:val="21"/>
          <w:highlight w:val="none"/>
          <w:lang w:val="en-US" w:eastAsia="zh-CN"/>
        </w:rPr>
      </w:pPr>
    </w:p>
    <w:p w14:paraId="6C4AB252">
      <w:pPr>
        <w:rPr>
          <w:rFonts w:hint="eastAsia" w:ascii="宋体" w:hAnsi="宋体" w:eastAsia="宋体" w:cs="Times New Roman"/>
          <w:i w:val="0"/>
          <w:sz w:val="21"/>
          <w:szCs w:val="21"/>
          <w:highlight w:val="none"/>
          <w:lang w:val="en-US" w:eastAsia="zh-CN"/>
        </w:rPr>
      </w:pPr>
    </w:p>
    <w:p w14:paraId="20B3729E">
      <w:pPr>
        <w:pStyle w:val="16"/>
        <w:rPr>
          <w:rFonts w:hint="eastAsia" w:ascii="宋体" w:hAnsi="宋体" w:eastAsia="宋体" w:cs="Times New Roman"/>
          <w:i w:val="0"/>
          <w:sz w:val="21"/>
          <w:szCs w:val="21"/>
          <w:highlight w:val="none"/>
          <w:lang w:val="en-US" w:eastAsia="zh-CN"/>
        </w:rPr>
      </w:pPr>
    </w:p>
    <w:p w14:paraId="78A2B9BA">
      <w:pPr>
        <w:pStyle w:val="10"/>
        <w:rPr>
          <w:rFonts w:hint="eastAsia" w:ascii="宋体" w:hAnsi="宋体" w:eastAsia="宋体" w:cs="Times New Roman"/>
          <w:i w:val="0"/>
          <w:sz w:val="21"/>
          <w:szCs w:val="21"/>
          <w:highlight w:val="none"/>
          <w:lang w:val="en-US" w:eastAsia="zh-CN"/>
        </w:rPr>
      </w:pPr>
    </w:p>
    <w:p w14:paraId="4BCB08EA">
      <w:pPr>
        <w:pStyle w:val="12"/>
        <w:rPr>
          <w:rFonts w:hint="eastAsia" w:ascii="宋体" w:hAnsi="宋体" w:eastAsia="宋体" w:cs="Times New Roman"/>
          <w:i w:val="0"/>
          <w:sz w:val="21"/>
          <w:szCs w:val="21"/>
          <w:highlight w:val="none"/>
          <w:lang w:val="en-US" w:eastAsia="zh-CN"/>
        </w:rPr>
      </w:pPr>
    </w:p>
    <w:p w14:paraId="6D5127D9">
      <w:pPr>
        <w:rPr>
          <w:rFonts w:hint="eastAsia" w:ascii="宋体" w:hAnsi="宋体" w:eastAsia="宋体" w:cs="Times New Roman"/>
          <w:i w:val="0"/>
          <w:sz w:val="21"/>
          <w:szCs w:val="21"/>
          <w:highlight w:val="none"/>
          <w:lang w:val="en-US" w:eastAsia="zh-CN"/>
        </w:rPr>
      </w:pPr>
    </w:p>
    <w:p w14:paraId="13C3D696">
      <w:pPr>
        <w:pStyle w:val="16"/>
        <w:rPr>
          <w:rFonts w:hint="eastAsia" w:ascii="宋体" w:hAnsi="宋体" w:eastAsia="宋体" w:cs="Times New Roman"/>
          <w:i w:val="0"/>
          <w:sz w:val="21"/>
          <w:szCs w:val="21"/>
          <w:highlight w:val="none"/>
          <w:lang w:val="en-US" w:eastAsia="zh-CN"/>
        </w:rPr>
      </w:pPr>
    </w:p>
    <w:p w14:paraId="68E59DEA">
      <w:pPr>
        <w:pStyle w:val="10"/>
        <w:rPr>
          <w:rFonts w:hint="eastAsia" w:ascii="宋体" w:hAnsi="宋体" w:eastAsia="宋体" w:cs="Times New Roman"/>
          <w:i w:val="0"/>
          <w:sz w:val="21"/>
          <w:szCs w:val="21"/>
          <w:highlight w:val="none"/>
          <w:lang w:val="en-US" w:eastAsia="zh-CN"/>
        </w:rPr>
      </w:pPr>
    </w:p>
    <w:p w14:paraId="367E54CF">
      <w:pPr>
        <w:pStyle w:val="12"/>
        <w:rPr>
          <w:rFonts w:hint="eastAsia" w:ascii="宋体" w:hAnsi="宋体" w:eastAsia="宋体" w:cs="Times New Roman"/>
          <w:i w:val="0"/>
          <w:sz w:val="21"/>
          <w:szCs w:val="21"/>
          <w:highlight w:val="none"/>
          <w:lang w:val="en-US" w:eastAsia="zh-CN"/>
        </w:rPr>
      </w:pPr>
    </w:p>
    <w:p w14:paraId="5ADADC65">
      <w:pPr>
        <w:rPr>
          <w:rFonts w:hint="eastAsia" w:ascii="宋体" w:hAnsi="宋体" w:eastAsia="宋体" w:cs="Times New Roman"/>
          <w:i w:val="0"/>
          <w:sz w:val="21"/>
          <w:szCs w:val="21"/>
          <w:highlight w:val="none"/>
          <w:lang w:val="en-US" w:eastAsia="zh-CN"/>
        </w:rPr>
      </w:pPr>
    </w:p>
    <w:p w14:paraId="11B08F7C">
      <w:pPr>
        <w:pStyle w:val="5"/>
        <w:numPr>
          <w:ilvl w:val="0"/>
          <w:numId w:val="0"/>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30" w:name="_Toc17991"/>
      <w:bookmarkStart w:id="173" w:name="_GoBack"/>
      <w:bookmarkEnd w:id="173"/>
      <w:r>
        <w:rPr>
          <w:rFonts w:hint="eastAsia" w:ascii="宋体" w:hAnsi="宋体" w:eastAsia="宋体" w:cs="Times New Roman"/>
          <w:b/>
          <w:bCs/>
          <w:kern w:val="44"/>
          <w:sz w:val="32"/>
          <w:szCs w:val="32"/>
          <w:lang w:val="en-US" w:eastAsia="zh-CN" w:bidi="ar-SA"/>
        </w:rPr>
        <w:t>第二章</w:t>
      </w:r>
      <w:r>
        <w:rPr>
          <w:rFonts w:hint="eastAsia" w:ascii="宋体" w:hAnsi="宋体"/>
          <w:sz w:val="32"/>
          <w:szCs w:val="32"/>
          <w:highlight w:val="none"/>
        </w:rPr>
        <w:t>供应商须知</w:t>
      </w:r>
      <w:bookmarkEnd w:id="30"/>
    </w:p>
    <w:p w14:paraId="2DD0268B">
      <w:pPr>
        <w:pStyle w:val="8"/>
        <w:rPr>
          <w:highlight w:val="none"/>
        </w:rPr>
      </w:pPr>
      <w:r>
        <w:rPr>
          <w:highlight w:val="none"/>
        </w:rPr>
        <w:t>一、供应商须知前附表</w:t>
      </w:r>
    </w:p>
    <w:p w14:paraId="16982C72">
      <w:pPr>
        <w:pStyle w:val="10"/>
        <w:spacing w:before="160" w:after="6" w:line="360" w:lineRule="auto"/>
        <w:ind w:left="510" w:right="493" w:firstLine="437"/>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0F4B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280DDCBC">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2759" w:type="dxa"/>
            <w:noWrap w:val="0"/>
            <w:vAlign w:val="center"/>
          </w:tcPr>
          <w:p w14:paraId="515132E8">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 款 名 称</w:t>
            </w:r>
          </w:p>
        </w:tc>
        <w:tc>
          <w:tcPr>
            <w:tcW w:w="6339" w:type="dxa"/>
            <w:noWrap w:val="0"/>
            <w:vAlign w:val="center"/>
          </w:tcPr>
          <w:p w14:paraId="754EB597">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编 列 内 容</w:t>
            </w:r>
          </w:p>
        </w:tc>
      </w:tr>
      <w:tr w14:paraId="63ED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3A3C1B7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14:paraId="2E2598FA">
            <w:pPr>
              <w:spacing w:line="360" w:lineRule="auto"/>
              <w:ind w:firstLine="840" w:firstLineChars="4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w:t>
            </w:r>
          </w:p>
        </w:tc>
        <w:tc>
          <w:tcPr>
            <w:tcW w:w="6339" w:type="dxa"/>
            <w:noWrap w:val="0"/>
            <w:vAlign w:val="center"/>
          </w:tcPr>
          <w:p w14:paraId="014287C4">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详见</w:t>
            </w:r>
            <w:r>
              <w:rPr>
                <w:rFonts w:hint="eastAsia" w:ascii="宋体" w:hAnsi="宋体" w:cs="宋体"/>
                <w:sz w:val="21"/>
                <w:szCs w:val="21"/>
                <w:highlight w:val="none"/>
                <w:lang w:val="en-US" w:eastAsia="zh-CN"/>
              </w:rPr>
              <w:t>谈判</w:t>
            </w:r>
            <w:r>
              <w:rPr>
                <w:rFonts w:hint="eastAsia" w:ascii="宋体" w:hAnsi="宋体" w:eastAsia="宋体" w:cs="宋体"/>
                <w:sz w:val="21"/>
                <w:szCs w:val="21"/>
                <w:highlight w:val="none"/>
                <w:lang w:val="en-US" w:eastAsia="zh-CN"/>
              </w:rPr>
              <w:t xml:space="preserve">公告 </w:t>
            </w:r>
          </w:p>
        </w:tc>
      </w:tr>
      <w:tr w14:paraId="26C9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7110BFF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14:paraId="75B3D22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40CE5A48">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w:t>
            </w:r>
            <w:r>
              <w:rPr>
                <w:rFonts w:hint="eastAsia" w:ascii="宋体" w:hAnsi="宋体" w:cs="宋体"/>
                <w:sz w:val="21"/>
                <w:szCs w:val="21"/>
                <w:highlight w:val="none"/>
                <w:lang w:val="en-US" w:eastAsia="zh-CN"/>
              </w:rPr>
              <w:t>谈判</w:t>
            </w:r>
            <w:r>
              <w:rPr>
                <w:rFonts w:hint="eastAsia" w:ascii="宋体" w:hAnsi="宋体" w:eastAsia="宋体" w:cs="宋体"/>
                <w:sz w:val="21"/>
                <w:szCs w:val="21"/>
                <w:highlight w:val="none"/>
                <w:lang w:val="en-US" w:eastAsia="zh-CN"/>
              </w:rPr>
              <w:t>公告</w:t>
            </w:r>
            <w:r>
              <w:rPr>
                <w:rFonts w:hint="eastAsia" w:ascii="宋体" w:hAnsi="宋体" w:eastAsia="宋体" w:cs="宋体"/>
                <w:sz w:val="21"/>
                <w:szCs w:val="21"/>
                <w:highlight w:val="none"/>
              </w:rPr>
              <w:t xml:space="preserve"> </w:t>
            </w:r>
          </w:p>
        </w:tc>
      </w:tr>
      <w:tr w14:paraId="6D3D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25E607F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14:paraId="5FA0E03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6F7F22F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安徽融城高新技术产业发展集团有限公司界首市军用特种服饰生产和研发军民融合示范园项目（一期）检测</w:t>
            </w:r>
          </w:p>
        </w:tc>
      </w:tr>
      <w:tr w14:paraId="319F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21DEC83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14:paraId="542C2FB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工程地点</w:t>
            </w:r>
          </w:p>
        </w:tc>
        <w:tc>
          <w:tcPr>
            <w:tcW w:w="6339" w:type="dxa"/>
            <w:noWrap w:val="0"/>
            <w:vAlign w:val="center"/>
          </w:tcPr>
          <w:p w14:paraId="26CFDB2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7152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309FA11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14:paraId="648B1B23">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采购范围</w:t>
            </w:r>
          </w:p>
        </w:tc>
        <w:tc>
          <w:tcPr>
            <w:tcW w:w="6339" w:type="dxa"/>
            <w:noWrap w:val="0"/>
            <w:vAlign w:val="center"/>
          </w:tcPr>
          <w:p w14:paraId="239FF10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sz w:val="21"/>
                <w:szCs w:val="21"/>
                <w:highlight w:val="none"/>
                <w:lang w:val="en-US" w:eastAsia="zh-CN"/>
              </w:rPr>
              <w:t>检测内容包括但不限于项目范围内的所有专项检测、见证取样检测等。包括但不限于地基与基础工程、主体结构工程（建筑、结构）、人防工程、内外装饰工程（室内环境检测、铝合金窗及百叶、建筑幕墙工程、屋面工程等）、电气工程、给排水工程、消防工程、通风与空调、智能化、亮化、室外工程（园林景观、道路、综合管网、消防、智能化、电力排管、排水检测、水质检测等）、建筑节能等所有工程至全部工程验收合格、竣工验收备案为止的所有检测。项目的检测内容、数量及频率按照国家相关规范的规定取定，如有建设主管部门相关特殊要求按规定执行。具体检测业务以委托人任务书为准。对于合同清单内未列明但国家规范强制要求必须检测的项目，视为已包含在合同总价中，乙方不得另行收费。</w:t>
            </w:r>
          </w:p>
        </w:tc>
      </w:tr>
      <w:tr w14:paraId="0ECE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6E868DE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14:paraId="3BB53AF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服务期限      </w:t>
            </w:r>
          </w:p>
        </w:tc>
        <w:tc>
          <w:tcPr>
            <w:tcW w:w="6339" w:type="dxa"/>
            <w:noWrap w:val="0"/>
            <w:vAlign w:val="center"/>
          </w:tcPr>
          <w:p w14:paraId="45DCFC4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Times New Roman"/>
                <w:sz w:val="21"/>
                <w:szCs w:val="21"/>
                <w:highlight w:val="none"/>
                <w:lang w:val="en-US" w:eastAsia="zh-CN"/>
              </w:rPr>
              <w:t>自合同签订之日起至项目竣工验收备案移交止</w:t>
            </w:r>
          </w:p>
        </w:tc>
      </w:tr>
      <w:tr w14:paraId="6AB2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3CEB07A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14:paraId="609D6DF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14:paraId="714FB8F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完成业主任务，符合国家相关法律法规规定</w:t>
            </w:r>
          </w:p>
        </w:tc>
      </w:tr>
      <w:tr w14:paraId="39AB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3880594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14:paraId="2254B285">
            <w:pPr>
              <w:spacing w:line="4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4ACD237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w:t>
            </w:r>
            <w:r>
              <w:rPr>
                <w:rFonts w:hint="eastAsia" w:ascii="宋体" w:hAnsi="宋体" w:cs="宋体"/>
                <w:sz w:val="21"/>
                <w:szCs w:val="21"/>
                <w:highlight w:val="none"/>
                <w:lang w:val="en-US" w:eastAsia="zh-CN"/>
              </w:rPr>
              <w:t>谈判</w:t>
            </w:r>
            <w:r>
              <w:rPr>
                <w:rFonts w:hint="eastAsia" w:ascii="宋体" w:hAnsi="宋体" w:eastAsia="宋体" w:cs="宋体"/>
                <w:sz w:val="21"/>
                <w:szCs w:val="21"/>
                <w:highlight w:val="none"/>
                <w:lang w:val="en-US" w:eastAsia="zh-CN"/>
              </w:rPr>
              <w:t>公告</w:t>
            </w:r>
            <w:r>
              <w:rPr>
                <w:rFonts w:hint="eastAsia" w:ascii="宋体" w:hAnsi="宋体" w:eastAsia="宋体" w:cs="宋体"/>
                <w:sz w:val="21"/>
                <w:szCs w:val="21"/>
                <w:highlight w:val="none"/>
              </w:rPr>
              <w:t xml:space="preserve"> </w:t>
            </w:r>
          </w:p>
        </w:tc>
      </w:tr>
      <w:tr w14:paraId="5EFF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37B8C74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14:paraId="4859631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0F001F9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0C29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15B67D9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14:paraId="25E9275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48B8382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sz w:val="21"/>
                <w:szCs w:val="21"/>
                <w:highlight w:val="none"/>
              </w:rPr>
            </w:pPr>
            <w:r>
              <w:rPr>
                <w:rFonts w:hint="eastAsia" w:ascii="宋体" w:hAnsi="宋体" w:eastAsia="宋体" w:cs="宋体"/>
                <w:bCs/>
                <w:sz w:val="21"/>
                <w:szCs w:val="21"/>
                <w:highlight w:val="none"/>
              </w:rPr>
              <w:t>招标代理费用：参照国家计委计价格【2002】1980号文件收取</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rPr>
              <w:t>以上费用，不单独列出，供应商自行考虑，含在响应报价中，在领取成交通知书时支付。</w:t>
            </w:r>
          </w:p>
          <w:p w14:paraId="3BA3829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6CB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3060F9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14:paraId="21ECCBE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3AD44D5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197B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6C6E7AA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14:paraId="77B7730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4078BAB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2D4E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58B95F9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14:paraId="4E75543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136810A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683A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52CF15E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14:paraId="55B961F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372BD49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6859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A746A1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445E30B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文件的其他材料</w:t>
            </w:r>
          </w:p>
        </w:tc>
        <w:tc>
          <w:tcPr>
            <w:tcW w:w="6339" w:type="dxa"/>
            <w:noWrap w:val="0"/>
            <w:vAlign w:val="center"/>
          </w:tcPr>
          <w:p w14:paraId="56A039B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cs="宋体"/>
                <w:bCs/>
                <w:sz w:val="21"/>
                <w:szCs w:val="21"/>
                <w:highlight w:val="none"/>
                <w:lang w:eastAsia="zh-CN"/>
              </w:rPr>
              <w:t>谈判</w:t>
            </w:r>
            <w:r>
              <w:rPr>
                <w:rFonts w:hint="eastAsia" w:ascii="宋体" w:hAnsi="宋体" w:eastAsia="宋体" w:cs="宋体"/>
                <w:bCs/>
                <w:sz w:val="21"/>
                <w:szCs w:val="21"/>
                <w:highlight w:val="none"/>
              </w:rPr>
              <w:t>文件的澄清、修改及答疑</w:t>
            </w:r>
          </w:p>
        </w:tc>
      </w:tr>
      <w:tr w14:paraId="71FF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D7C7AFA">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157E8D9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文件提出异议的截止时间</w:t>
            </w:r>
          </w:p>
        </w:tc>
        <w:tc>
          <w:tcPr>
            <w:tcW w:w="6339" w:type="dxa"/>
            <w:noWrap w:val="0"/>
            <w:vAlign w:val="center"/>
          </w:tcPr>
          <w:p w14:paraId="0657480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天前。</w:t>
            </w:r>
          </w:p>
          <w:p w14:paraId="7339867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color w:val="000000"/>
                <w:sz w:val="21"/>
                <w:szCs w:val="21"/>
                <w:highlight w:val="none"/>
                <w:u w:val="single"/>
              </w:rPr>
              <w:t>1258465466@qq.com，同时电话至</w:t>
            </w:r>
            <w:r>
              <w:rPr>
                <w:rFonts w:hint="eastAsia" w:ascii="宋体" w:hAnsi="宋体" w:eastAsia="宋体" w:cs="宋体"/>
                <w:sz w:val="21"/>
                <w:szCs w:val="21"/>
                <w:highlight w:val="none"/>
                <w:u w:val="single"/>
                <w:lang w:eastAsia="zh-CN"/>
              </w:rPr>
              <w:t>15055859230</w:t>
            </w:r>
          </w:p>
        </w:tc>
      </w:tr>
      <w:tr w14:paraId="320E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39FF044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14:paraId="21D3BAB2">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14:paraId="3D7B61D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以电子邮件的方式进行回复，供应商自行查看，</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1C75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086E66CF">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730E73EE">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cs="宋体"/>
                <w:bCs/>
                <w:sz w:val="21"/>
                <w:szCs w:val="21"/>
                <w:highlight w:val="none"/>
                <w:lang w:eastAsia="zh-CN"/>
              </w:rPr>
              <w:t>谈判</w:t>
            </w:r>
            <w:r>
              <w:rPr>
                <w:rFonts w:hint="eastAsia" w:ascii="宋体" w:hAnsi="宋体" w:eastAsia="宋体" w:cs="宋体"/>
                <w:bCs/>
                <w:sz w:val="21"/>
                <w:szCs w:val="21"/>
                <w:highlight w:val="none"/>
              </w:rPr>
              <w:t>文件的澄清及修改</w:t>
            </w:r>
          </w:p>
        </w:tc>
        <w:tc>
          <w:tcPr>
            <w:tcW w:w="6339" w:type="dxa"/>
            <w:noWrap w:val="0"/>
            <w:vAlign w:val="center"/>
          </w:tcPr>
          <w:p w14:paraId="523E8F9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sz w:val="21"/>
                <w:szCs w:val="21"/>
                <w:highlight w:val="none"/>
                <w:lang w:eastAsia="zh-CN"/>
              </w:rPr>
              <w:t>《</w:t>
            </w:r>
            <w:r>
              <w:rPr>
                <w:rFonts w:hint="eastAsia" w:ascii="宋体" w:hAnsi="宋体" w:cs="Times New Roman"/>
                <w:sz w:val="21"/>
                <w:szCs w:val="21"/>
                <w:highlight w:val="none"/>
                <w:lang w:val="en-US" w:eastAsia="zh-CN"/>
              </w:rPr>
              <w:t>安徽融城高新技术产业发展集团有限公司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上发布。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161D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15A331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40646403">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文件澄清的时间</w:t>
            </w:r>
          </w:p>
        </w:tc>
        <w:tc>
          <w:tcPr>
            <w:tcW w:w="6339" w:type="dxa"/>
            <w:noWrap w:val="0"/>
            <w:vAlign w:val="center"/>
          </w:tcPr>
          <w:p w14:paraId="21416DA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402D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4234813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374DEE3C">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文件修改的时间</w:t>
            </w:r>
          </w:p>
        </w:tc>
        <w:tc>
          <w:tcPr>
            <w:tcW w:w="6339" w:type="dxa"/>
            <w:noWrap w:val="0"/>
            <w:vAlign w:val="center"/>
          </w:tcPr>
          <w:p w14:paraId="0D646B8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357C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062B3334">
            <w:pPr>
              <w:spacing w:line="4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2.3.4</w:t>
            </w:r>
          </w:p>
        </w:tc>
        <w:tc>
          <w:tcPr>
            <w:tcW w:w="2759" w:type="dxa"/>
            <w:noWrap w:val="0"/>
            <w:vAlign w:val="center"/>
          </w:tcPr>
          <w:p w14:paraId="19A98118">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履约保证金</w:t>
            </w:r>
          </w:p>
        </w:tc>
        <w:tc>
          <w:tcPr>
            <w:tcW w:w="6339" w:type="dxa"/>
            <w:noWrap w:val="0"/>
            <w:vAlign w:val="center"/>
          </w:tcPr>
          <w:p w14:paraId="615DC0E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免收</w:t>
            </w:r>
          </w:p>
        </w:tc>
      </w:tr>
      <w:tr w14:paraId="6560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35C4A63E">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14:paraId="3B0CD23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539805A7">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53B3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E28E7E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6C5F2BD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1F22ABF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311D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A2D5D4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7066968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4502B51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permStart w:id="0" w:edGrp="everyone"/>
            <w:r>
              <w:rPr>
                <w:rFonts w:hint="eastAsia" w:ascii="宋体" w:hAnsi="宋体" w:eastAsia="宋体" w:cs="宋体"/>
                <w:bCs/>
                <w:sz w:val="21"/>
                <w:szCs w:val="21"/>
                <w:highlight w:val="none"/>
                <w:u w:val="single"/>
              </w:rPr>
              <w:t xml:space="preserve">90 </w:t>
            </w:r>
            <w:permEnd w:id="0"/>
            <w:r>
              <w:rPr>
                <w:rFonts w:hint="eastAsia" w:ascii="宋体" w:hAnsi="宋体" w:eastAsia="宋体" w:cs="宋体"/>
                <w:bCs/>
                <w:sz w:val="21"/>
                <w:szCs w:val="21"/>
                <w:highlight w:val="none"/>
              </w:rPr>
              <w:t>日历天</w:t>
            </w:r>
          </w:p>
        </w:tc>
      </w:tr>
      <w:tr w14:paraId="13AF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5FEED8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004CEC2E">
            <w:pPr>
              <w:spacing w:line="4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保证金</w:t>
            </w:r>
          </w:p>
        </w:tc>
        <w:tc>
          <w:tcPr>
            <w:tcW w:w="6339" w:type="dxa"/>
            <w:noWrap w:val="0"/>
            <w:vAlign w:val="center"/>
          </w:tcPr>
          <w:p w14:paraId="2770D63D">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rPr>
            </w:pPr>
            <w:r>
              <w:rPr>
                <w:rFonts w:hint="eastAsia" w:ascii="宋体" w:hAnsi="宋体" w:cs="宋体"/>
                <w:b/>
                <w:bCs/>
                <w:sz w:val="21"/>
                <w:szCs w:val="21"/>
                <w:highlight w:val="none"/>
                <w:lang w:val="en-US" w:eastAsia="zh-CN"/>
              </w:rPr>
              <w:t>谈判</w:t>
            </w:r>
            <w:r>
              <w:rPr>
                <w:rFonts w:hint="eastAsia" w:ascii="宋体" w:hAnsi="宋体" w:eastAsia="宋体" w:cs="宋体"/>
                <w:b/>
                <w:bCs/>
                <w:sz w:val="21"/>
                <w:szCs w:val="21"/>
                <w:highlight w:val="none"/>
              </w:rPr>
              <w:t>保证金的金额</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人民币</w:t>
            </w:r>
            <w:r>
              <w:rPr>
                <w:rFonts w:hint="eastAsia" w:ascii="宋体" w:hAnsi="宋体" w:cs="宋体"/>
                <w:b/>
                <w:bCs/>
                <w:sz w:val="21"/>
                <w:szCs w:val="21"/>
                <w:highlight w:val="none"/>
                <w:lang w:val="en-US" w:eastAsia="zh-CN"/>
              </w:rPr>
              <w:t>捌仟</w:t>
            </w:r>
            <w:r>
              <w:rPr>
                <w:rFonts w:hint="eastAsia" w:ascii="宋体" w:hAnsi="宋体" w:eastAsia="宋体" w:cs="宋体"/>
                <w:b/>
                <w:bCs/>
                <w:sz w:val="21"/>
                <w:szCs w:val="21"/>
                <w:highlight w:val="none"/>
              </w:rPr>
              <w:t>圆整（￥</w:t>
            </w:r>
            <w:r>
              <w:rPr>
                <w:rFonts w:hint="eastAsia" w:ascii="宋体" w:hAnsi="宋体" w:cs="宋体"/>
                <w:b/>
                <w:bCs/>
                <w:sz w:val="21"/>
                <w:szCs w:val="21"/>
                <w:highlight w:val="none"/>
                <w:lang w:val="en-US" w:eastAsia="zh-CN"/>
              </w:rPr>
              <w:t>50</w:t>
            </w:r>
            <w:r>
              <w:rPr>
                <w:rFonts w:hint="eastAsia" w:ascii="宋体" w:hAnsi="宋体" w:eastAsia="宋体" w:cs="宋体"/>
                <w:b/>
                <w:bCs/>
                <w:sz w:val="21"/>
                <w:szCs w:val="21"/>
                <w:highlight w:val="none"/>
                <w:lang w:val="en-US" w:eastAsia="zh-CN"/>
              </w:rPr>
              <w:t>00</w:t>
            </w:r>
            <w:r>
              <w:rPr>
                <w:rFonts w:hint="eastAsia" w:ascii="宋体" w:hAnsi="宋体" w:eastAsia="宋体" w:cs="宋体"/>
                <w:b/>
                <w:bCs/>
                <w:sz w:val="21"/>
                <w:szCs w:val="21"/>
                <w:highlight w:val="none"/>
              </w:rPr>
              <w:t xml:space="preserve">.00元） </w:t>
            </w:r>
          </w:p>
          <w:p w14:paraId="492789A1">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31" w:name="_Toc28762"/>
            <w:bookmarkStart w:id="32" w:name="_Toc16120"/>
            <w:bookmarkStart w:id="33" w:name="_Toc31176"/>
            <w:bookmarkStart w:id="34" w:name="_Toc26417"/>
            <w:bookmarkStart w:id="35" w:name="_Toc5843"/>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以现金形式缴纳保证金，用信封密封且在密封处加盖</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公章，在递交</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文件的同时递交。未中标的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评标结束后现场退还；成交单位的</w:t>
            </w:r>
            <w:r>
              <w:rPr>
                <w:rFonts w:hint="eastAsia" w:ascii="宋体" w:hAnsi="宋体" w:cs="宋体"/>
                <w:sz w:val="21"/>
                <w:szCs w:val="21"/>
                <w:highlight w:val="none"/>
                <w:lang w:val="en-US" w:eastAsia="zh-CN"/>
              </w:rPr>
              <w:t>谈判</w:t>
            </w:r>
            <w:r>
              <w:rPr>
                <w:rFonts w:hint="eastAsia" w:ascii="宋体" w:hAnsi="宋体" w:eastAsia="宋体" w:cs="宋体"/>
                <w:sz w:val="21"/>
                <w:szCs w:val="21"/>
                <w:highlight w:val="none"/>
              </w:rPr>
              <w:t>保证金由采购人委托代理机构保管。成交单位的</w:t>
            </w:r>
            <w:r>
              <w:rPr>
                <w:rFonts w:hint="eastAsia" w:ascii="宋体" w:hAnsi="宋体" w:cs="宋体"/>
                <w:sz w:val="21"/>
                <w:szCs w:val="21"/>
                <w:highlight w:val="none"/>
                <w:lang w:val="en-US" w:eastAsia="zh-CN"/>
              </w:rPr>
              <w:t>谈判</w:t>
            </w:r>
            <w:r>
              <w:rPr>
                <w:rFonts w:hint="eastAsia" w:ascii="宋体" w:hAnsi="宋体" w:eastAsia="宋体" w:cs="宋体"/>
                <w:sz w:val="21"/>
                <w:szCs w:val="21"/>
                <w:highlight w:val="none"/>
              </w:rPr>
              <w:t>保证金</w:t>
            </w:r>
            <w:r>
              <w:rPr>
                <w:rFonts w:hint="eastAsia" w:ascii="宋体" w:hAnsi="宋体" w:cs="宋体"/>
                <w:sz w:val="21"/>
                <w:szCs w:val="21"/>
                <w:highlight w:val="none"/>
                <w:lang w:val="en-US" w:eastAsia="zh-CN"/>
              </w:rPr>
              <w:t>在</w:t>
            </w:r>
            <w:r>
              <w:rPr>
                <w:rFonts w:hint="eastAsia" w:ascii="宋体" w:hAnsi="宋体" w:eastAsia="宋体" w:cs="宋体"/>
                <w:sz w:val="21"/>
                <w:szCs w:val="21"/>
                <w:highlight w:val="none"/>
              </w:rPr>
              <w:t>成交结果公示期结束无异议、书面合同签订合同后3个工作日内退还。</w:t>
            </w:r>
            <w:bookmarkEnd w:id="31"/>
            <w:bookmarkEnd w:id="32"/>
            <w:bookmarkEnd w:id="33"/>
            <w:bookmarkEnd w:id="34"/>
            <w:bookmarkEnd w:id="35"/>
          </w:p>
        </w:tc>
      </w:tr>
      <w:tr w14:paraId="6A14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92BF0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1338936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0716CF7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61A1731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1EB8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BA8A4B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2CB868F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27AD6F1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符合竞争性</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文件要求</w:t>
            </w:r>
          </w:p>
        </w:tc>
      </w:tr>
      <w:tr w14:paraId="01DA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4370533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2B94A6E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14:paraId="2B90CE2B">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36" w:name="_Toc19342"/>
            <w:r>
              <w:rPr>
                <w:rFonts w:hint="eastAsia" w:ascii="宋体" w:hAnsi="宋体" w:eastAsia="宋体" w:cs="宋体"/>
                <w:sz w:val="21"/>
                <w:szCs w:val="21"/>
                <w:highlight w:val="none"/>
              </w:rPr>
              <w:t>纸质版文件正本1份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副本 2 份 ；</w:t>
            </w:r>
            <w:bookmarkEnd w:id="36"/>
          </w:p>
          <w:p w14:paraId="0EC83173">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lang w:val="en-US" w:eastAsia="zh-CN"/>
              </w:rPr>
            </w:pPr>
            <w:bookmarkStart w:id="37"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37"/>
          </w:p>
          <w:p w14:paraId="3E36961A">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38" w:name="_Toc12683"/>
            <w:r>
              <w:rPr>
                <w:rFonts w:hint="eastAsia" w:ascii="宋体" w:hAnsi="宋体" w:eastAsia="宋体" w:cs="宋体"/>
                <w:sz w:val="21"/>
                <w:szCs w:val="21"/>
                <w:highlight w:val="none"/>
                <w:lang w:val="en-US" w:eastAsia="zh-CN"/>
              </w:rPr>
              <w:t>2、正本和副本的封面上应清楚地标记 “ 正本”或“ 副本”的字样。当副本和正本不一致时，以正本为准。</w:t>
            </w:r>
            <w:bookmarkEnd w:id="38"/>
          </w:p>
        </w:tc>
      </w:tr>
      <w:tr w14:paraId="24DF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0D93D74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14:paraId="63A7727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14:paraId="29C9F28F">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电子版响应文件（U盘）一份。电子版需为投标文件签字盖章后的扫描版</w:t>
            </w:r>
          </w:p>
          <w:p w14:paraId="3E79DE26">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响应文件电子版密封方式：以上电子版响应文件单独放入一个密封袋中；加贴封条，并在封套封口处加盖投标人单位章，在封套上标记“响应文件电子版”字样。开标时，无电子版响应文件或无法读取作无效标处理。</w:t>
            </w:r>
          </w:p>
        </w:tc>
      </w:tr>
      <w:tr w14:paraId="1CC9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F97044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14:paraId="2A73F798">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6F62849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56E4378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395411D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015BDC2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38D5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F04E830">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4BC54843">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663A4FA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w:t>
            </w:r>
            <w:r>
              <w:rPr>
                <w:rFonts w:hint="eastAsia" w:ascii="宋体" w:hAnsi="宋体" w:cs="宋体"/>
                <w:b/>
                <w:bCs/>
                <w:sz w:val="21"/>
                <w:szCs w:val="21"/>
                <w:highlight w:val="none"/>
                <w:lang w:val="en-US" w:eastAsia="zh-CN"/>
              </w:rPr>
              <w:t>谈判</w:t>
            </w:r>
            <w:r>
              <w:rPr>
                <w:rFonts w:hint="eastAsia" w:ascii="宋体" w:hAnsi="宋体" w:eastAsia="宋体" w:cs="宋体"/>
                <w:b/>
                <w:bCs/>
                <w:sz w:val="21"/>
                <w:szCs w:val="21"/>
                <w:highlight w:val="none"/>
                <w:lang w:val="en-US" w:eastAsia="zh-CN"/>
              </w:rPr>
              <w:t>公告</w:t>
            </w:r>
          </w:p>
        </w:tc>
      </w:tr>
      <w:tr w14:paraId="7F5C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706DF91">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6F48A0E1">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555D315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w:t>
            </w:r>
            <w:r>
              <w:rPr>
                <w:rFonts w:hint="eastAsia" w:ascii="宋体" w:hAnsi="宋体" w:cs="宋体"/>
                <w:b/>
                <w:bCs/>
                <w:sz w:val="21"/>
                <w:szCs w:val="21"/>
                <w:highlight w:val="none"/>
                <w:lang w:val="en-US" w:eastAsia="zh-CN"/>
              </w:rPr>
              <w:t>谈判</w:t>
            </w:r>
            <w:r>
              <w:rPr>
                <w:rFonts w:hint="eastAsia" w:ascii="宋体" w:hAnsi="宋体" w:eastAsia="宋体" w:cs="宋体"/>
                <w:b/>
                <w:bCs/>
                <w:sz w:val="21"/>
                <w:szCs w:val="21"/>
                <w:highlight w:val="none"/>
                <w:lang w:val="en-US" w:eastAsia="zh-CN"/>
              </w:rPr>
              <w:t>公告</w:t>
            </w:r>
          </w:p>
        </w:tc>
      </w:tr>
      <w:tr w14:paraId="6C2D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12DD7C0">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68806957">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678104D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38D357F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4A80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4210D58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041390EA">
            <w:pPr>
              <w:spacing w:line="4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时间和地点</w:t>
            </w:r>
          </w:p>
        </w:tc>
        <w:tc>
          <w:tcPr>
            <w:tcW w:w="6339" w:type="dxa"/>
            <w:noWrap w:val="0"/>
            <w:vAlign w:val="center"/>
          </w:tcPr>
          <w:p w14:paraId="218D8D0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谈判</w:t>
            </w:r>
            <w:r>
              <w:rPr>
                <w:rFonts w:hint="eastAsia" w:ascii="宋体" w:hAnsi="宋体" w:eastAsia="宋体" w:cs="宋体"/>
                <w:b/>
                <w:bCs/>
                <w:sz w:val="21"/>
                <w:szCs w:val="21"/>
                <w:highlight w:val="none"/>
              </w:rPr>
              <w:t>时间：</w:t>
            </w:r>
            <w:r>
              <w:rPr>
                <w:rFonts w:hint="eastAsia" w:ascii="宋体" w:hAnsi="宋体" w:eastAsia="宋体" w:cs="宋体"/>
                <w:b/>
                <w:bCs/>
                <w:sz w:val="21"/>
                <w:szCs w:val="21"/>
                <w:highlight w:val="none"/>
                <w:lang w:val="en-US" w:eastAsia="zh-CN"/>
              </w:rPr>
              <w:t>同</w:t>
            </w:r>
            <w:r>
              <w:rPr>
                <w:rFonts w:hint="eastAsia" w:ascii="宋体" w:hAnsi="宋体" w:eastAsia="宋体" w:cs="宋体"/>
                <w:bCs/>
                <w:sz w:val="21"/>
                <w:szCs w:val="21"/>
                <w:highlight w:val="none"/>
              </w:rPr>
              <w:t>响应文件递交、截止时间</w:t>
            </w:r>
          </w:p>
          <w:p w14:paraId="3261603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cs="宋体"/>
                <w:b/>
                <w:bCs/>
                <w:sz w:val="21"/>
                <w:szCs w:val="21"/>
                <w:highlight w:val="none"/>
                <w:lang w:eastAsia="zh-CN"/>
              </w:rPr>
              <w:t>谈判</w:t>
            </w:r>
            <w:r>
              <w:rPr>
                <w:rFonts w:hint="eastAsia" w:ascii="宋体" w:hAnsi="宋体" w:eastAsia="宋体" w:cs="宋体"/>
                <w:b/>
                <w:bCs/>
                <w:sz w:val="21"/>
                <w:szCs w:val="21"/>
                <w:highlight w:val="none"/>
              </w:rPr>
              <w:t>地点：</w:t>
            </w:r>
            <w:r>
              <w:rPr>
                <w:rFonts w:hint="eastAsia" w:ascii="宋体" w:hAnsi="宋体" w:eastAsia="宋体" w:cs="宋体"/>
                <w:b/>
                <w:bCs/>
                <w:sz w:val="21"/>
                <w:szCs w:val="21"/>
                <w:highlight w:val="none"/>
                <w:lang w:val="en-US" w:eastAsia="zh-CN"/>
              </w:rPr>
              <w:t>同</w:t>
            </w:r>
            <w:r>
              <w:rPr>
                <w:rFonts w:hint="eastAsia" w:ascii="宋体" w:hAnsi="宋体" w:eastAsia="宋体" w:cs="宋体"/>
                <w:bCs/>
                <w:sz w:val="21"/>
                <w:szCs w:val="21"/>
                <w:highlight w:val="none"/>
              </w:rPr>
              <w:t>响应文件递交</w:t>
            </w:r>
            <w:r>
              <w:rPr>
                <w:rFonts w:hint="eastAsia" w:ascii="宋体" w:hAnsi="宋体" w:eastAsia="宋体" w:cs="宋体"/>
                <w:bCs/>
                <w:sz w:val="21"/>
                <w:szCs w:val="21"/>
                <w:highlight w:val="none"/>
                <w:lang w:val="en-US" w:eastAsia="zh-CN"/>
              </w:rPr>
              <w:t>地点</w:t>
            </w:r>
          </w:p>
        </w:tc>
      </w:tr>
      <w:tr w14:paraId="2F1C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8AECCE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07304A7B">
            <w:pPr>
              <w:spacing w:line="4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顺序</w:t>
            </w:r>
          </w:p>
        </w:tc>
        <w:tc>
          <w:tcPr>
            <w:tcW w:w="6339" w:type="dxa"/>
            <w:noWrap w:val="0"/>
            <w:vAlign w:val="center"/>
          </w:tcPr>
          <w:p w14:paraId="6057F91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0FF6069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文件递交的先后顺序进行</w:t>
            </w:r>
          </w:p>
        </w:tc>
      </w:tr>
      <w:tr w14:paraId="45E7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9B74A9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24C6D5C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4666228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5" w:leftChars="50" w:right="283"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w:t>
            </w:r>
            <w:r>
              <w:rPr>
                <w:rFonts w:hint="eastAsia" w:ascii="宋体" w:hAnsi="宋体" w:cs="宋体"/>
                <w:b/>
                <w:bCs/>
                <w:sz w:val="21"/>
                <w:szCs w:val="21"/>
                <w:highlight w:val="none"/>
                <w:lang w:val="en-US" w:eastAsia="zh-CN"/>
              </w:rPr>
              <w:t>谈判</w:t>
            </w:r>
            <w:r>
              <w:rPr>
                <w:rFonts w:hint="eastAsia" w:ascii="宋体" w:hAnsi="宋体" w:eastAsia="宋体" w:cs="宋体"/>
                <w:b/>
                <w:bCs/>
                <w:sz w:val="21"/>
                <w:szCs w:val="21"/>
                <w:highlight w:val="none"/>
                <w:lang w:val="en-US" w:eastAsia="zh-CN"/>
              </w:rPr>
              <w:t>会需携带本人身份证原件。</w:t>
            </w:r>
          </w:p>
          <w:p w14:paraId="68919E6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5" w:leftChars="50" w:right="283"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w:t>
            </w:r>
            <w:r>
              <w:rPr>
                <w:rFonts w:hint="eastAsia" w:ascii="宋体" w:hAnsi="宋体" w:cs="宋体"/>
                <w:b/>
                <w:bCs/>
                <w:sz w:val="21"/>
                <w:szCs w:val="21"/>
                <w:highlight w:val="none"/>
                <w:lang w:val="en-US" w:eastAsia="zh-CN"/>
              </w:rPr>
              <w:t>谈判</w:t>
            </w:r>
            <w:r>
              <w:rPr>
                <w:rFonts w:hint="eastAsia" w:ascii="宋体" w:hAnsi="宋体" w:eastAsia="宋体" w:cs="宋体"/>
                <w:b/>
                <w:bCs/>
                <w:sz w:val="21"/>
                <w:szCs w:val="21"/>
                <w:highlight w:val="none"/>
                <w:lang w:val="en-US" w:eastAsia="zh-CN"/>
              </w:rPr>
              <w:t>会应携带法定代表人授权委托书（单独提交一份）及本人身份证原件签名报到。</w:t>
            </w:r>
          </w:p>
          <w:p w14:paraId="5178563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递交响应文件的同时进行验证，请供应商在递交文件的时候准备好相关证件。未通过核验的，采购人拒绝接收其响应文件。开标时各供应商仅限法人或授权委托人进入开标室。</w:t>
            </w:r>
          </w:p>
        </w:tc>
      </w:tr>
      <w:tr w14:paraId="2763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B698AE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5FD62FAE">
            <w:pPr>
              <w:spacing w:line="4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小组的组建</w:t>
            </w:r>
          </w:p>
        </w:tc>
        <w:tc>
          <w:tcPr>
            <w:tcW w:w="6339" w:type="dxa"/>
            <w:noWrap w:val="0"/>
            <w:vAlign w:val="center"/>
          </w:tcPr>
          <w:p w14:paraId="3C8EBD80">
            <w:pPr>
              <w:keepNext w:val="0"/>
              <w:keepLines w:val="0"/>
              <w:pageBreakBefore w:val="0"/>
              <w:widowControl w:val="0"/>
              <w:kinsoku/>
              <w:wordWrap/>
              <w:overflowPunct/>
              <w:topLinePunct w:val="0"/>
              <w:autoSpaceDE/>
              <w:autoSpaceDN/>
              <w:bidi w:val="0"/>
              <w:adjustRightInd/>
              <w:snapToGrid/>
              <w:spacing w:line="400" w:lineRule="exact"/>
              <w:ind w:left="105" w:leftChars="50" w:right="283" w:firstLine="105" w:firstLineChars="50"/>
              <w:textAlignment w:val="auto"/>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谈判</w:t>
            </w:r>
            <w:r>
              <w:rPr>
                <w:rFonts w:hint="eastAsia" w:ascii="宋体" w:hAnsi="宋体" w:eastAsia="宋体" w:cs="宋体"/>
                <w:bCs/>
                <w:sz w:val="21"/>
                <w:szCs w:val="21"/>
                <w:highlight w:val="none"/>
              </w:rPr>
              <w:t>小组构成：</w:t>
            </w:r>
            <w:permStart w:id="1" w:edGrp="everyone"/>
            <w:r>
              <w:rPr>
                <w:rFonts w:hint="eastAsia" w:ascii="宋体" w:hAnsi="宋体" w:eastAsia="宋体" w:cs="宋体"/>
                <w:bCs/>
                <w:sz w:val="21"/>
                <w:szCs w:val="21"/>
                <w:highlight w:val="none"/>
                <w:u w:val="single"/>
              </w:rPr>
              <w:t xml:space="preserve">3 </w:t>
            </w:r>
            <w:permEnd w:id="1"/>
            <w:r>
              <w:rPr>
                <w:rFonts w:hint="eastAsia" w:ascii="宋体" w:hAnsi="宋体" w:eastAsia="宋体" w:cs="宋体"/>
                <w:bCs/>
                <w:sz w:val="21"/>
                <w:szCs w:val="21"/>
                <w:highlight w:val="none"/>
              </w:rPr>
              <w:t>人及以上单数。</w:t>
            </w:r>
          </w:p>
          <w:p w14:paraId="6F86210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bCs/>
                <w:sz w:val="21"/>
                <w:szCs w:val="21"/>
                <w:highlight w:val="none"/>
                <w:lang w:eastAsia="zh-CN"/>
              </w:rPr>
              <w:t>谈判</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1E5A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19FA3988">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0499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54CA20C">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01CA313A">
            <w:pPr>
              <w:spacing w:line="400" w:lineRule="exact"/>
              <w:ind w:left="105"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32E1E77F">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1BA5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6FD6DF77">
            <w:pPr>
              <w:spacing w:line="400" w:lineRule="exact"/>
              <w:ind w:right="113"/>
              <w:rPr>
                <w:rFonts w:hint="eastAsia" w:ascii="宋体" w:hAnsi="宋体" w:eastAsia="宋体" w:cs="宋体"/>
                <w:b/>
                <w:sz w:val="21"/>
                <w:szCs w:val="21"/>
                <w:highlight w:val="none"/>
                <w:u w:val="thick"/>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 xml:space="preserve">.最高响应上限 </w:t>
            </w:r>
          </w:p>
        </w:tc>
      </w:tr>
      <w:tr w14:paraId="3E55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FDFDC5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w:t>
            </w:r>
          </w:p>
        </w:tc>
        <w:tc>
          <w:tcPr>
            <w:tcW w:w="2759" w:type="dxa"/>
            <w:noWrap w:val="0"/>
            <w:vAlign w:val="center"/>
          </w:tcPr>
          <w:p w14:paraId="339B874E">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最高响应上限</w:t>
            </w:r>
          </w:p>
        </w:tc>
        <w:tc>
          <w:tcPr>
            <w:tcW w:w="6339" w:type="dxa"/>
            <w:noWrap w:val="0"/>
            <w:vAlign w:val="center"/>
          </w:tcPr>
          <w:p w14:paraId="1F1DDEB9">
            <w:pPr>
              <w:spacing w:line="400" w:lineRule="exact"/>
              <w:jc w:val="left"/>
              <w:rPr>
                <w:rFonts w:hint="eastAsia" w:ascii="宋体" w:hAnsi="宋体" w:eastAsia="宋体" w:cs="宋体"/>
                <w:sz w:val="21"/>
                <w:szCs w:val="21"/>
                <w:highlight w:val="none"/>
              </w:rPr>
            </w:pPr>
            <w:r>
              <w:rPr>
                <w:rFonts w:hint="eastAsia" w:ascii="宋体" w:hAnsi="宋体" w:eastAsia="宋体" w:cs="宋体"/>
                <w:b/>
                <w:bCs w:val="0"/>
                <w:sz w:val="21"/>
                <w:szCs w:val="21"/>
                <w:highlight w:val="none"/>
              </w:rPr>
              <w:t>最高响应限价：</w:t>
            </w:r>
            <w:r>
              <w:rPr>
                <w:rFonts w:hint="eastAsia" w:ascii="宋体" w:hAnsi="宋体" w:cs="宋体"/>
                <w:b/>
                <w:bCs w:val="0"/>
                <w:sz w:val="21"/>
                <w:szCs w:val="21"/>
                <w:highlight w:val="none"/>
                <w:lang w:val="en-US" w:eastAsia="zh-CN"/>
              </w:rPr>
              <w:t>296000元</w:t>
            </w:r>
            <w:r>
              <w:rPr>
                <w:rFonts w:hint="eastAsia" w:ascii="宋体" w:hAnsi="宋体" w:eastAsia="宋体" w:cs="宋体"/>
                <w:b/>
                <w:bCs w:val="0"/>
                <w:sz w:val="21"/>
                <w:szCs w:val="21"/>
                <w:highlight w:val="none"/>
              </w:rPr>
              <w:t>（</w:t>
            </w:r>
            <w:r>
              <w:rPr>
                <w:rFonts w:hint="eastAsia" w:ascii="宋体" w:hAnsi="宋体" w:cs="宋体"/>
                <w:b/>
                <w:bCs w:val="0"/>
                <w:sz w:val="21"/>
                <w:szCs w:val="21"/>
                <w:highlight w:val="none"/>
                <w:lang w:val="en-US" w:eastAsia="zh-CN"/>
              </w:rPr>
              <w:t>贰拾玖万陆仟元整</w:t>
            </w:r>
            <w:r>
              <w:rPr>
                <w:rFonts w:hint="eastAsia" w:ascii="宋体" w:hAnsi="宋体" w:eastAsia="宋体" w:cs="宋体"/>
                <w:b/>
                <w:bCs w:val="0"/>
                <w:sz w:val="21"/>
                <w:szCs w:val="21"/>
                <w:highlight w:val="none"/>
              </w:rPr>
              <w:t>），响应报价高于或等于最高响应上限的响应文件，均按无效标处理。</w:t>
            </w:r>
          </w:p>
        </w:tc>
      </w:tr>
      <w:tr w14:paraId="1EBA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6CA34F6">
            <w:pPr>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8.2</w:t>
            </w:r>
          </w:p>
        </w:tc>
        <w:tc>
          <w:tcPr>
            <w:tcW w:w="2759" w:type="dxa"/>
            <w:noWrap w:val="0"/>
            <w:vAlign w:val="center"/>
          </w:tcPr>
          <w:p w14:paraId="08CEAAD6">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投标报价的其他要求</w:t>
            </w:r>
          </w:p>
        </w:tc>
        <w:tc>
          <w:tcPr>
            <w:tcW w:w="6339" w:type="dxa"/>
            <w:noWrap w:val="0"/>
            <w:vAlign w:val="center"/>
          </w:tcPr>
          <w:p w14:paraId="71BDE8C8">
            <w:pPr>
              <w:spacing w:line="4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小数点后保留两位有效数字</w:t>
            </w:r>
          </w:p>
        </w:tc>
      </w:tr>
      <w:tr w14:paraId="7F90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5E56840">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p>
        </w:tc>
        <w:tc>
          <w:tcPr>
            <w:tcW w:w="9098" w:type="dxa"/>
            <w:gridSpan w:val="2"/>
            <w:noWrap w:val="0"/>
            <w:vAlign w:val="center"/>
          </w:tcPr>
          <w:p w14:paraId="548C114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48B9F39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12EBF8C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66350B9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3F157162">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4664D2CB">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766375FB">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73F374F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638285D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文件要求的；响应文件未胶装的。</w:t>
            </w:r>
          </w:p>
          <w:p w14:paraId="0006727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22C490A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77F1B91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小组要求澄清、说明或补正的。</w:t>
            </w:r>
          </w:p>
          <w:p w14:paraId="548A9C4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313644D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文件要求,或作出的承诺与竞争性</w:t>
            </w:r>
            <w:r>
              <w:rPr>
                <w:rFonts w:hint="eastAsia" w:ascii="宋体" w:hAnsi="宋体" w:cs="宋体"/>
                <w:sz w:val="21"/>
                <w:szCs w:val="21"/>
                <w:highlight w:val="none"/>
                <w:lang w:eastAsia="zh-CN"/>
              </w:rPr>
              <w:t>谈判</w:t>
            </w:r>
            <w:r>
              <w:rPr>
                <w:rFonts w:hint="eastAsia" w:ascii="宋体" w:hAnsi="宋体" w:eastAsia="宋体" w:cs="宋体"/>
                <w:sz w:val="21"/>
                <w:szCs w:val="21"/>
                <w:highlight w:val="none"/>
              </w:rPr>
              <w:t>文件中提供的响应函样本中相关内容相抵触或有遗漏的。</w:t>
            </w:r>
          </w:p>
          <w:p w14:paraId="5562E28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2FF6F035">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1837A0D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4691302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549392DA">
      <w:pPr>
        <w:widowControl/>
        <w:spacing w:line="360" w:lineRule="auto"/>
        <w:jc w:val="left"/>
        <w:rPr>
          <w:rFonts w:ascii="宋体" w:hAnsi="宋体"/>
          <w:highlight w:val="none"/>
        </w:rPr>
      </w:pPr>
    </w:p>
    <w:p w14:paraId="16CE3444">
      <w:pPr>
        <w:pStyle w:val="8"/>
        <w:rPr>
          <w:highlight w:val="none"/>
        </w:rPr>
      </w:pPr>
      <w:r>
        <w:rPr>
          <w:highlight w:val="none"/>
        </w:rPr>
        <w:t>二、供应商须知正文</w:t>
      </w:r>
    </w:p>
    <w:p w14:paraId="2BA1A795">
      <w:pPr>
        <w:keepNext w:val="0"/>
        <w:keepLines w:val="0"/>
        <w:pageBreakBefore w:val="0"/>
        <w:shd w:val="clear"/>
        <w:kinsoku/>
        <w:wordWrap/>
        <w:overflowPunct/>
        <w:topLinePunct w:val="0"/>
        <w:autoSpaceDE w:val="0"/>
        <w:autoSpaceDN w:val="0"/>
        <w:bidi w:val="0"/>
        <w:adjustRightInd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lang w:val="en-US" w:eastAsia="zh-CN"/>
        </w:rPr>
      </w:pPr>
      <w:bookmarkStart w:id="39" w:name="_Toc445554689"/>
      <w:bookmarkStart w:id="40" w:name="_Toc333600683"/>
      <w:bookmarkStart w:id="41" w:name="_Toc458504819"/>
      <w:bookmarkStart w:id="42" w:name="_Toc342297619"/>
      <w:bookmarkStart w:id="43" w:name="_Toc333599659"/>
      <w:bookmarkStart w:id="44" w:name="_Toc333587853"/>
      <w:bookmarkStart w:id="45" w:name="_Toc179632547"/>
      <w:bookmarkStart w:id="46" w:name="_Toc144974498"/>
      <w:bookmarkStart w:id="47" w:name="_Toc152042306"/>
      <w:bookmarkStart w:id="48" w:name="_Toc152045530"/>
      <w:bookmarkStart w:id="49" w:name="_Toc3215797"/>
      <w:bookmarkStart w:id="50" w:name="_Toc342294714"/>
      <w:bookmarkStart w:id="51" w:name="_Toc3295847"/>
      <w:bookmarkStart w:id="52" w:name="_Toc466024501"/>
      <w:bookmarkStart w:id="53" w:name="_Toc371415921"/>
      <w:bookmarkStart w:id="54" w:name="_Toc3219777"/>
      <w:bookmarkStart w:id="55" w:name="_Toc338943700"/>
      <w:bookmarkStart w:id="56" w:name="_Toc342296162"/>
      <w:bookmarkStart w:id="57" w:name="_Toc455587033"/>
      <w:bookmarkStart w:id="58" w:name="_Toc338944605"/>
      <w:bookmarkStart w:id="59" w:name="_Toc2176144"/>
      <w:bookmarkStart w:id="60" w:name="_Toc455587217"/>
      <w:r>
        <w:rPr>
          <w:rFonts w:hint="eastAsia" w:ascii="宋体" w:hAnsi="宋体" w:eastAsia="宋体" w:cs="宋体"/>
          <w:b/>
          <w:color w:val="auto"/>
          <w:sz w:val="24"/>
          <w:szCs w:val="24"/>
          <w:highlight w:val="none"/>
          <w:lang w:val="en-US" w:eastAsia="zh-CN"/>
        </w:rPr>
        <w:t>1.总则</w:t>
      </w:r>
    </w:p>
    <w:p w14:paraId="671840B0">
      <w:pPr>
        <w:keepNext w:val="0"/>
        <w:keepLines w:val="0"/>
        <w:pageBreakBefore w:val="0"/>
        <w:shd w:val="clear"/>
        <w:kinsoku/>
        <w:wordWrap/>
        <w:overflowPunct/>
        <w:topLinePunct w:val="0"/>
        <w:bidi w:val="0"/>
        <w:adjustRightInd w:val="0"/>
        <w:snapToGrid/>
        <w:spacing w:line="360" w:lineRule="auto"/>
        <w:ind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1.1适用范围</w:t>
      </w:r>
    </w:p>
    <w:p w14:paraId="3A723A00">
      <w:pPr>
        <w:keepNext w:val="0"/>
        <w:keepLines w:val="0"/>
        <w:pageBreakBefore w:val="0"/>
        <w:shd w:val="clear"/>
        <w:kinsoku/>
        <w:wordWrap/>
        <w:overflowPunct/>
        <w:topLinePunct w:val="0"/>
        <w:bidi w:val="0"/>
        <w:adjustRightInd w:val="0"/>
        <w:snapToGrid/>
        <w:spacing w:line="360" w:lineRule="auto"/>
        <w:ind w:right="0"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1.1.1本谈判文件仅适用于本次谈判所述的服务项目采购。</w:t>
      </w:r>
    </w:p>
    <w:p w14:paraId="701C7DEE">
      <w:pPr>
        <w:keepNext w:val="0"/>
        <w:keepLines w:val="0"/>
        <w:pageBreakBefore w:val="0"/>
        <w:shd w:val="clear"/>
        <w:kinsoku/>
        <w:wordWrap/>
        <w:overflowPunct/>
        <w:topLinePunct w:val="0"/>
        <w:bidi w:val="0"/>
        <w:adjustRightInd w:val="0"/>
        <w:snapToGrid/>
        <w:spacing w:line="360" w:lineRule="auto"/>
        <w:ind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 xml:space="preserve"> 项目概况</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C2AF8EC">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根据《中华人民共和国政府采购法》《中华人民共和国政府采购法实施条例》《政府采购非招标采购方式管理办法》等有关法律、法规和规章的规定，本项目已具备政府采购条件，现以</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方式进行政府采购。</w:t>
      </w:r>
    </w:p>
    <w:p w14:paraId="1E8230C8">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采购人：见</w:t>
      </w:r>
      <w:r>
        <w:rPr>
          <w:rFonts w:hint="eastAsia" w:ascii="宋体" w:hAnsi="宋体" w:eastAsia="宋体" w:cs="宋体"/>
          <w:color w:val="auto"/>
          <w:sz w:val="24"/>
          <w:szCs w:val="24"/>
          <w:highlight w:val="none"/>
          <w:lang w:val="en-US" w:eastAsia="zh-CN"/>
        </w:rPr>
        <w:t>竞争性谈判公告</w:t>
      </w:r>
      <w:r>
        <w:rPr>
          <w:rFonts w:hint="eastAsia" w:ascii="宋体" w:hAnsi="宋体" w:eastAsia="宋体" w:cs="宋体"/>
          <w:color w:val="auto"/>
          <w:sz w:val="24"/>
          <w:szCs w:val="24"/>
          <w:highlight w:val="none"/>
        </w:rPr>
        <w:t>。</w:t>
      </w:r>
    </w:p>
    <w:p w14:paraId="70419769">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 采购代理机构：见</w:t>
      </w:r>
      <w:r>
        <w:rPr>
          <w:rFonts w:hint="eastAsia" w:ascii="宋体" w:hAnsi="宋体" w:eastAsia="宋体" w:cs="宋体"/>
          <w:color w:val="auto"/>
          <w:sz w:val="24"/>
          <w:szCs w:val="24"/>
          <w:highlight w:val="none"/>
          <w:lang w:val="en-US" w:eastAsia="zh-CN"/>
        </w:rPr>
        <w:t>竞争性谈判公告</w:t>
      </w:r>
      <w:r>
        <w:rPr>
          <w:rFonts w:hint="eastAsia" w:ascii="宋体" w:hAnsi="宋体" w:eastAsia="宋体" w:cs="宋体"/>
          <w:color w:val="auto"/>
          <w:sz w:val="24"/>
          <w:szCs w:val="24"/>
          <w:highlight w:val="none"/>
        </w:rPr>
        <w:t>。</w:t>
      </w:r>
    </w:p>
    <w:p w14:paraId="2B15C13E">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 采购项目名称：见</w:t>
      </w:r>
      <w:r>
        <w:rPr>
          <w:rFonts w:hint="eastAsia" w:ascii="宋体" w:hAnsi="宋体" w:eastAsia="宋体" w:cs="宋体"/>
          <w:color w:val="auto"/>
          <w:sz w:val="24"/>
          <w:szCs w:val="24"/>
          <w:highlight w:val="none"/>
          <w:lang w:val="en-US" w:eastAsia="zh-CN"/>
        </w:rPr>
        <w:t>竞争性谈判公告</w:t>
      </w:r>
      <w:r>
        <w:rPr>
          <w:rFonts w:hint="eastAsia" w:ascii="宋体" w:hAnsi="宋体" w:eastAsia="宋体" w:cs="宋体"/>
          <w:color w:val="auto"/>
          <w:sz w:val="24"/>
          <w:szCs w:val="24"/>
          <w:highlight w:val="none"/>
        </w:rPr>
        <w:t>。</w:t>
      </w:r>
    </w:p>
    <w:p w14:paraId="18EBA61F">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包别划分：见供应商须知前附表。项目有分包的，供应商可参与其中某一个或多个分包的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，成交包数详见供应商须知前附表中规定。</w:t>
      </w:r>
    </w:p>
    <w:p w14:paraId="5A15E1D7">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.6 采购预算：见</w:t>
      </w:r>
      <w:r>
        <w:rPr>
          <w:rFonts w:hint="eastAsia" w:ascii="宋体" w:hAnsi="宋体" w:eastAsia="宋体" w:cs="宋体"/>
          <w:color w:val="auto"/>
          <w:sz w:val="24"/>
          <w:szCs w:val="24"/>
          <w:highlight w:val="none"/>
          <w:lang w:val="en-US" w:eastAsia="zh-CN"/>
        </w:rPr>
        <w:t>竞争性谈判公告</w:t>
      </w:r>
      <w:r>
        <w:rPr>
          <w:rFonts w:hint="eastAsia" w:ascii="宋体" w:hAnsi="宋体" w:eastAsia="宋体" w:cs="宋体"/>
          <w:color w:val="auto"/>
          <w:sz w:val="24"/>
          <w:szCs w:val="24"/>
          <w:highlight w:val="none"/>
        </w:rPr>
        <w:t>。</w:t>
      </w:r>
    </w:p>
    <w:p w14:paraId="4480B0A0">
      <w:pPr>
        <w:keepNext w:val="0"/>
        <w:keepLines w:val="0"/>
        <w:pageBreakBefore w:val="0"/>
        <w:shd w:val="clear"/>
        <w:kinsoku/>
        <w:wordWrap/>
        <w:overflowPunct/>
        <w:topLinePunct w:val="0"/>
        <w:bidi w:val="0"/>
        <w:adjustRightInd w:val="0"/>
        <w:snapToGrid/>
        <w:spacing w:line="360" w:lineRule="auto"/>
        <w:ind w:right="0" w:firstLine="482" w:firstLineChars="200"/>
        <w:textAlignment w:val="auto"/>
        <w:rPr>
          <w:rFonts w:hint="eastAsia" w:ascii="宋体" w:hAnsi="宋体" w:eastAsia="宋体" w:cs="宋体"/>
          <w:b/>
          <w:bCs/>
          <w:color w:val="auto"/>
          <w:sz w:val="24"/>
          <w:szCs w:val="24"/>
          <w:highlight w:val="none"/>
          <w:lang w:eastAsia="zh-CN"/>
        </w:rPr>
      </w:pPr>
      <w:bookmarkStart w:id="61" w:name="_Toc455587218"/>
      <w:bookmarkStart w:id="62" w:name="_Toc455587034"/>
      <w:bookmarkStart w:id="63" w:name="_Toc466024502"/>
      <w:bookmarkStart w:id="64" w:name="_Toc445554690"/>
      <w:bookmarkStart w:id="65" w:name="_Toc458504820"/>
      <w:r>
        <w:rPr>
          <w:rFonts w:hint="eastAsia" w:ascii="宋体" w:hAnsi="宋体" w:eastAsia="宋体" w:cs="宋体"/>
          <w:b/>
          <w:bCs/>
          <w:color w:val="auto"/>
          <w:sz w:val="24"/>
          <w:szCs w:val="24"/>
          <w:highlight w:val="none"/>
          <w:lang w:eastAsia="zh-CN"/>
        </w:rPr>
        <w:t>1.3 采购需求、交货地点、交货期和质量要求</w:t>
      </w:r>
      <w:bookmarkEnd w:id="61"/>
      <w:bookmarkEnd w:id="62"/>
      <w:bookmarkEnd w:id="63"/>
      <w:bookmarkEnd w:id="64"/>
      <w:bookmarkEnd w:id="65"/>
    </w:p>
    <w:p w14:paraId="4BCC3F07">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rPr>
        <w:t>.1 采购需求：见</w:t>
      </w:r>
      <w:r>
        <w:rPr>
          <w:rFonts w:hint="eastAsia" w:ascii="宋体" w:hAnsi="宋体" w:eastAsia="宋体" w:cs="宋体"/>
          <w:color w:val="auto"/>
          <w:sz w:val="24"/>
          <w:szCs w:val="24"/>
          <w:highlight w:val="none"/>
          <w:lang w:val="en-US" w:eastAsia="zh-CN"/>
        </w:rPr>
        <w:t>第三章采购需求</w:t>
      </w:r>
      <w:r>
        <w:rPr>
          <w:rFonts w:hint="eastAsia" w:ascii="宋体" w:hAnsi="宋体" w:eastAsia="宋体" w:cs="宋体"/>
          <w:color w:val="auto"/>
          <w:sz w:val="24"/>
          <w:szCs w:val="24"/>
          <w:highlight w:val="none"/>
        </w:rPr>
        <w:t>。</w:t>
      </w:r>
    </w:p>
    <w:p w14:paraId="65570CBC">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rPr>
        <w:t>.2 进口产品采购：见供应商须知前附表。</w:t>
      </w:r>
    </w:p>
    <w:p w14:paraId="3AEB4C85">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限和服务地点</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第三章采购需求</w:t>
      </w:r>
      <w:r>
        <w:rPr>
          <w:rFonts w:hint="eastAsia" w:ascii="宋体" w:hAnsi="宋体" w:eastAsia="宋体" w:cs="宋体"/>
          <w:color w:val="auto"/>
          <w:sz w:val="24"/>
          <w:szCs w:val="24"/>
          <w:highlight w:val="none"/>
        </w:rPr>
        <w:t>。</w:t>
      </w:r>
    </w:p>
    <w:p w14:paraId="011DB4EF">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付款方式：见</w:t>
      </w:r>
      <w:r>
        <w:rPr>
          <w:rFonts w:hint="eastAsia" w:ascii="宋体" w:hAnsi="宋体" w:eastAsia="宋体" w:cs="宋体"/>
          <w:color w:val="auto"/>
          <w:sz w:val="24"/>
          <w:szCs w:val="24"/>
          <w:highlight w:val="none"/>
          <w:lang w:val="en-US" w:eastAsia="zh-CN"/>
        </w:rPr>
        <w:t>第三章采购需求</w:t>
      </w:r>
      <w:r>
        <w:rPr>
          <w:rFonts w:hint="eastAsia" w:ascii="宋体" w:hAnsi="宋体" w:eastAsia="宋体" w:cs="宋体"/>
          <w:color w:val="auto"/>
          <w:sz w:val="24"/>
          <w:szCs w:val="24"/>
          <w:highlight w:val="none"/>
        </w:rPr>
        <w:t>。</w:t>
      </w:r>
    </w:p>
    <w:p w14:paraId="0838713C">
      <w:pPr>
        <w:keepNext w:val="0"/>
        <w:keepLines w:val="0"/>
        <w:pageBreakBefore w:val="0"/>
        <w:shd w:val="clear"/>
        <w:kinsoku/>
        <w:wordWrap/>
        <w:overflowPunct/>
        <w:topLinePunct w:val="0"/>
        <w:bidi w:val="0"/>
        <w:adjustRightInd w:val="0"/>
        <w:snapToGrid/>
        <w:spacing w:line="360" w:lineRule="auto"/>
        <w:ind w:right="0" w:firstLine="482" w:firstLineChars="200"/>
        <w:textAlignment w:val="auto"/>
        <w:rPr>
          <w:rFonts w:hint="eastAsia" w:ascii="宋体" w:hAnsi="宋体" w:eastAsia="宋体" w:cs="宋体"/>
          <w:b/>
          <w:bCs/>
          <w:color w:val="auto"/>
          <w:sz w:val="24"/>
          <w:szCs w:val="24"/>
          <w:highlight w:val="none"/>
          <w:lang w:eastAsia="zh-CN"/>
        </w:rPr>
      </w:pPr>
      <w:bookmarkStart w:id="66" w:name="_Toc342297623"/>
      <w:bookmarkStart w:id="67" w:name="_Toc152045534"/>
      <w:bookmarkStart w:id="68" w:name="_Toc333587857"/>
      <w:bookmarkStart w:id="69" w:name="_Toc152042310"/>
      <w:bookmarkStart w:id="70" w:name="_Toc458504821"/>
      <w:bookmarkStart w:id="71" w:name="_Toc342296166"/>
      <w:bookmarkStart w:id="72" w:name="_Toc342294718"/>
      <w:bookmarkStart w:id="73" w:name="_Toc333599663"/>
      <w:bookmarkStart w:id="74" w:name="_Toc455587035"/>
      <w:bookmarkStart w:id="75" w:name="_Toc466024503"/>
      <w:bookmarkStart w:id="76" w:name="_Toc338944609"/>
      <w:bookmarkStart w:id="77" w:name="_Toc179632551"/>
      <w:bookmarkStart w:id="78" w:name="_Toc445554692"/>
      <w:bookmarkStart w:id="79" w:name="_Toc371415924"/>
      <w:bookmarkStart w:id="80" w:name="_Toc144974502"/>
      <w:bookmarkStart w:id="81" w:name="_Toc455587219"/>
      <w:bookmarkStart w:id="82" w:name="_Toc333600687"/>
      <w:bookmarkStart w:id="83" w:name="_Toc338943704"/>
      <w:r>
        <w:rPr>
          <w:rFonts w:hint="eastAsia" w:ascii="宋体" w:hAnsi="宋体" w:eastAsia="宋体" w:cs="宋体"/>
          <w:b/>
          <w:bCs/>
          <w:color w:val="auto"/>
          <w:sz w:val="24"/>
          <w:szCs w:val="24"/>
          <w:highlight w:val="none"/>
          <w:lang w:eastAsia="zh-CN"/>
        </w:rPr>
        <w:t>1.4 供应商资格要求</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175BB43">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w:t>
      </w:r>
      <w:r>
        <w:rPr>
          <w:rFonts w:hint="eastAsia" w:ascii="宋体" w:hAnsi="宋体" w:eastAsia="宋体" w:cs="宋体"/>
          <w:color w:val="auto"/>
          <w:sz w:val="24"/>
          <w:szCs w:val="24"/>
          <w:highlight w:val="none"/>
        </w:rPr>
        <w:t>.1 供应商应具备承担本采购项目的资质条件、能力和信誉：见</w:t>
      </w:r>
      <w:r>
        <w:rPr>
          <w:rFonts w:hint="eastAsia" w:ascii="宋体" w:hAnsi="宋体" w:eastAsia="宋体" w:cs="宋体"/>
          <w:color w:val="auto"/>
          <w:sz w:val="24"/>
          <w:szCs w:val="24"/>
          <w:highlight w:val="none"/>
          <w:lang w:val="en-US" w:eastAsia="zh-CN"/>
        </w:rPr>
        <w:t>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w:t>
      </w:r>
    </w:p>
    <w:p w14:paraId="136B7AC0">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w:t>
      </w:r>
      <w:r>
        <w:rPr>
          <w:rFonts w:hint="eastAsia" w:ascii="宋体" w:hAnsi="宋体" w:eastAsia="宋体" w:cs="宋体"/>
          <w:color w:val="auto"/>
          <w:sz w:val="24"/>
          <w:szCs w:val="24"/>
          <w:highlight w:val="none"/>
        </w:rPr>
        <w:t>.2 供应商须知前附表规定接受联合体响应的，除应符合本章第</w:t>
      </w: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rPr>
        <w:t>.1项和供应商须知前附表的要求外，还应遵守以下规定：</w:t>
      </w:r>
    </w:p>
    <w:p w14:paraId="50439560">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文件提供的格式签订联合体协议书，明确联合体牵头人和各方权利义务，并承诺就成交项目向采购人承担连带责任；</w:t>
      </w:r>
    </w:p>
    <w:p w14:paraId="320A2874">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3E6800A7">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（3）以联合体形式参加采购活动的，联合体各方不得再单独参加或者与其他供应商另外组成联合体参加同一标包的政府采购活动；</w:t>
      </w:r>
    </w:p>
    <w:p w14:paraId="4B818ADB">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（4）联合体各方应分别按照本</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文件的要求，填写响应文件中的相应表格，并由联合体牵头人负责对联合体各成员的资料进行统一汇总后一并提交给采购人；联合体牵头人所提交的响应文件应认为已代表了联合体各成员的真实情况；</w:t>
      </w:r>
    </w:p>
    <w:p w14:paraId="54EA7A2D">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（5）尽管委任了联合体牵头人，但联合体各成员在参加采购活动、签订合同与履行合同过程中，仍负有连带的和各自的法律责任。</w:t>
      </w:r>
    </w:p>
    <w:p w14:paraId="7771A52F">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w:t>
      </w:r>
      <w:r>
        <w:rPr>
          <w:rFonts w:hint="eastAsia" w:ascii="宋体" w:hAnsi="宋体" w:eastAsia="宋体" w:cs="宋体"/>
          <w:color w:val="auto"/>
          <w:sz w:val="24"/>
          <w:szCs w:val="24"/>
          <w:highlight w:val="none"/>
        </w:rPr>
        <w:t>.3 供应商（包括联合体各成员）不得存在下列情形之一：</w:t>
      </w:r>
    </w:p>
    <w:p w14:paraId="657CCC38">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bookmarkStart w:id="84" w:name="_Toc152042311"/>
      <w:bookmarkStart w:id="85" w:name="_Toc342294719"/>
      <w:bookmarkStart w:id="86" w:name="_Toc333600688"/>
      <w:bookmarkStart w:id="87" w:name="_Toc333599664"/>
      <w:bookmarkStart w:id="88" w:name="_Toc333587858"/>
      <w:bookmarkStart w:id="89" w:name="_Toc179632552"/>
      <w:bookmarkStart w:id="90" w:name="_Toc144974503"/>
      <w:bookmarkStart w:id="91" w:name="_Toc338944610"/>
      <w:bookmarkStart w:id="92" w:name="_Toc338943705"/>
      <w:bookmarkStart w:id="93" w:name="_Toc342297624"/>
      <w:bookmarkStart w:id="94" w:name="_Toc342296167"/>
      <w:bookmarkStart w:id="95" w:name="_Toc152045535"/>
      <w:r>
        <w:rPr>
          <w:rFonts w:hint="eastAsia" w:ascii="宋体" w:hAnsi="宋体" w:eastAsia="宋体" w:cs="宋体"/>
          <w:color w:val="auto"/>
          <w:sz w:val="24"/>
          <w:szCs w:val="24"/>
          <w:highlight w:val="none"/>
        </w:rPr>
        <w:t>（1）为本采购项目的采购代理机构；</w:t>
      </w:r>
    </w:p>
    <w:p w14:paraId="14892A41">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（2）为采购人不具有独立法人资格的附属机构；</w:t>
      </w:r>
    </w:p>
    <w:p w14:paraId="39C78BBC">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（3）与采购人存在利害关系且可能影响采购公正性；</w:t>
      </w:r>
    </w:p>
    <w:p w14:paraId="445AFD25">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（4）由本采购项目采购代理机构代理参加政府采购活动，或者接受过本采购项目的采购代理机构为本采购项目提供咨询的；</w:t>
      </w:r>
    </w:p>
    <w:p w14:paraId="5968E96D">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（5）被责令停产停业、暂扣或者吊销许可证、暂扣或者吊销执照；</w:t>
      </w:r>
    </w:p>
    <w:p w14:paraId="669CBEC1">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（6）进入清算程序，或被宣告破产，或其他丧失履约能力的情形；</w:t>
      </w:r>
    </w:p>
    <w:p w14:paraId="417086E3">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（7）与本项目其他供应商的单位负责人为同一人或者存在直接控股、管理关系的；</w:t>
      </w:r>
    </w:p>
    <w:p w14:paraId="65D76421">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（8）被依法禁止参加政府采购活动并在有效期内的；</w:t>
      </w:r>
    </w:p>
    <w:p w14:paraId="0B2A197D">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（9）为采购项目提供整体设计、规范编制或者项目管理、监理、检测等服务的供应商，不得再参加该采购项目的其他采购活动，具体按财政部财办库〔2015〕295号文件规定；</w:t>
      </w:r>
    </w:p>
    <w:p w14:paraId="77DF9693">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）被人民法院列入失信被执行人名单的</w:t>
      </w:r>
      <w:r>
        <w:rPr>
          <w:rFonts w:hint="eastAsia" w:ascii="宋体" w:hAnsi="宋体" w:eastAsia="宋体" w:cs="宋体"/>
          <w:color w:val="auto"/>
          <w:sz w:val="24"/>
          <w:szCs w:val="24"/>
          <w:highlight w:val="none"/>
          <w:lang w:eastAsia="zh-CN"/>
        </w:rPr>
        <w:t>；</w:t>
      </w:r>
    </w:p>
    <w:p w14:paraId="54F37934">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）被税务机关列入重大税收违法失信主体名单的</w:t>
      </w:r>
      <w:r>
        <w:rPr>
          <w:rFonts w:hint="eastAsia" w:ascii="宋体" w:hAnsi="宋体" w:eastAsia="宋体" w:cs="宋体"/>
          <w:color w:val="auto"/>
          <w:sz w:val="24"/>
          <w:szCs w:val="24"/>
          <w:highlight w:val="none"/>
          <w:lang w:eastAsia="zh-CN"/>
        </w:rPr>
        <w:t>；</w:t>
      </w:r>
    </w:p>
    <w:p w14:paraId="7BEF65C2">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）被财政部门列入政府采购严重违法失信行为记录名单的</w:t>
      </w:r>
      <w:r>
        <w:rPr>
          <w:rFonts w:hint="eastAsia" w:ascii="宋体" w:hAnsi="宋体" w:eastAsia="宋体" w:cs="宋体"/>
          <w:color w:val="auto"/>
          <w:sz w:val="24"/>
          <w:szCs w:val="24"/>
          <w:highlight w:val="none"/>
          <w:lang w:eastAsia="zh-CN"/>
        </w:rPr>
        <w:t>；</w:t>
      </w:r>
    </w:p>
    <w:p w14:paraId="16851BD0">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）被市场监督管理部门列入严重违法失信名单的</w:t>
      </w:r>
      <w:r>
        <w:rPr>
          <w:rFonts w:hint="eastAsia" w:ascii="宋体" w:hAnsi="宋体" w:eastAsia="宋体" w:cs="宋体"/>
          <w:color w:val="auto"/>
          <w:sz w:val="24"/>
          <w:szCs w:val="24"/>
          <w:highlight w:val="none"/>
          <w:lang w:eastAsia="zh-CN"/>
        </w:rPr>
        <w:t>；</w:t>
      </w:r>
    </w:p>
    <w:p w14:paraId="6C1521F2">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（14）法律法规规定的其他情形；</w:t>
      </w:r>
    </w:p>
    <w:p w14:paraId="0AE6B60B">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）供应商须知前附表规定的其他情形。</w:t>
      </w:r>
    </w:p>
    <w:p w14:paraId="0804033E">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以联合体方式参加采购活动的，联合体任一成员不得存在以上情形。</w:t>
      </w:r>
    </w:p>
    <w:p w14:paraId="6C6CCF45">
      <w:pPr>
        <w:keepNext w:val="0"/>
        <w:keepLines w:val="0"/>
        <w:pageBreakBefore w:val="0"/>
        <w:shd w:val="clear"/>
        <w:kinsoku/>
        <w:wordWrap/>
        <w:overflowPunct/>
        <w:topLinePunct w:val="0"/>
        <w:bidi w:val="0"/>
        <w:adjustRightInd w:val="0"/>
        <w:snapToGrid/>
        <w:spacing w:line="360" w:lineRule="auto"/>
        <w:ind w:right="0" w:firstLine="482" w:firstLineChars="200"/>
        <w:textAlignment w:val="auto"/>
        <w:rPr>
          <w:rFonts w:hint="eastAsia" w:ascii="宋体" w:hAnsi="宋体" w:eastAsia="宋体" w:cs="宋体"/>
          <w:b/>
          <w:bCs/>
          <w:color w:val="auto"/>
          <w:sz w:val="24"/>
          <w:szCs w:val="24"/>
          <w:highlight w:val="none"/>
          <w:lang w:eastAsia="zh-CN"/>
        </w:rPr>
      </w:pPr>
      <w:bookmarkStart w:id="96" w:name="_Toc466024504"/>
      <w:bookmarkStart w:id="97" w:name="_Toc458504822"/>
      <w:bookmarkStart w:id="98" w:name="_Toc455587036"/>
      <w:bookmarkStart w:id="99" w:name="_Toc445554693"/>
      <w:bookmarkStart w:id="100" w:name="_Toc371415925"/>
      <w:bookmarkStart w:id="101" w:name="_Toc455587220"/>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 xml:space="preserve"> 费用承担</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A182798">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bookmarkStart w:id="102" w:name="_Toc466024505"/>
      <w:bookmarkStart w:id="103" w:name="_Toc455587037"/>
      <w:bookmarkStart w:id="104" w:name="_Toc458504823"/>
      <w:bookmarkStart w:id="105" w:name="_Toc445554694"/>
      <w:bookmarkStart w:id="106" w:name="_Toc455587221"/>
      <w:bookmarkStart w:id="107" w:name="_Toc247527560"/>
      <w:bookmarkStart w:id="108" w:name="_Toc247513959"/>
      <w:bookmarkStart w:id="109" w:name="_Toc152042312"/>
      <w:bookmarkStart w:id="110" w:name="_Toc144974504"/>
      <w:bookmarkStart w:id="111" w:name="_Toc152045536"/>
      <w:bookmarkStart w:id="112" w:name="_Toc300834956"/>
      <w:r>
        <w:rPr>
          <w:rFonts w:hint="eastAsia" w:ascii="宋体" w:hAnsi="宋体" w:eastAsia="宋体" w:cs="宋体"/>
          <w:color w:val="auto"/>
          <w:sz w:val="24"/>
          <w:szCs w:val="24"/>
          <w:highlight w:val="none"/>
        </w:rPr>
        <w:t>供应商准备和参加采购活动发生的费用自理。</w:t>
      </w:r>
    </w:p>
    <w:bookmarkEnd w:id="102"/>
    <w:bookmarkEnd w:id="103"/>
    <w:bookmarkEnd w:id="104"/>
    <w:bookmarkEnd w:id="105"/>
    <w:bookmarkEnd w:id="106"/>
    <w:p w14:paraId="4279E676">
      <w:pPr>
        <w:keepNext w:val="0"/>
        <w:keepLines w:val="0"/>
        <w:pageBreakBefore w:val="0"/>
        <w:shd w:val="clear"/>
        <w:kinsoku/>
        <w:wordWrap/>
        <w:overflowPunct/>
        <w:topLinePunct w:val="0"/>
        <w:bidi w:val="0"/>
        <w:adjustRightInd w:val="0"/>
        <w:snapToGrid/>
        <w:spacing w:line="360" w:lineRule="auto"/>
        <w:ind w:right="0" w:firstLine="482" w:firstLineChars="200"/>
        <w:textAlignment w:val="auto"/>
        <w:rPr>
          <w:rFonts w:hint="eastAsia" w:ascii="宋体" w:hAnsi="宋体" w:eastAsia="宋体" w:cs="宋体"/>
          <w:b/>
          <w:bCs/>
          <w:color w:val="auto"/>
          <w:sz w:val="24"/>
          <w:szCs w:val="24"/>
          <w:highlight w:val="none"/>
          <w:lang w:eastAsia="zh-CN"/>
        </w:rPr>
      </w:pPr>
      <w:bookmarkStart w:id="113" w:name="_Toc466024506"/>
      <w:bookmarkStart w:id="114" w:name="_Toc458504824"/>
      <w:bookmarkStart w:id="115" w:name="_Toc455587222"/>
      <w:bookmarkStart w:id="116" w:name="_Toc455587038"/>
      <w:bookmarkStart w:id="117" w:name="_Toc445554695"/>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 xml:space="preserve"> 语言文字</w:t>
      </w:r>
      <w:bookmarkEnd w:id="107"/>
      <w:bookmarkEnd w:id="108"/>
      <w:bookmarkEnd w:id="109"/>
      <w:bookmarkEnd w:id="110"/>
      <w:bookmarkEnd w:id="111"/>
      <w:bookmarkEnd w:id="112"/>
      <w:bookmarkEnd w:id="113"/>
      <w:bookmarkEnd w:id="114"/>
      <w:bookmarkEnd w:id="115"/>
      <w:bookmarkEnd w:id="116"/>
      <w:bookmarkEnd w:id="117"/>
    </w:p>
    <w:p w14:paraId="789BB6B3">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有关的语言均应当使用中文。必要时专用术语应附有中文注释。</w:t>
      </w:r>
    </w:p>
    <w:p w14:paraId="48211A62">
      <w:pPr>
        <w:keepNext w:val="0"/>
        <w:keepLines w:val="0"/>
        <w:pageBreakBefore w:val="0"/>
        <w:shd w:val="clear"/>
        <w:kinsoku/>
        <w:wordWrap/>
        <w:overflowPunct/>
        <w:topLinePunct w:val="0"/>
        <w:bidi w:val="0"/>
        <w:adjustRightInd w:val="0"/>
        <w:snapToGrid/>
        <w:spacing w:line="360" w:lineRule="auto"/>
        <w:ind w:right="0" w:firstLine="482" w:firstLineChars="200"/>
        <w:textAlignment w:val="auto"/>
        <w:rPr>
          <w:rFonts w:hint="eastAsia" w:ascii="宋体" w:hAnsi="宋体" w:eastAsia="宋体" w:cs="宋体"/>
          <w:b/>
          <w:bCs/>
          <w:color w:val="auto"/>
          <w:sz w:val="24"/>
          <w:szCs w:val="24"/>
          <w:highlight w:val="none"/>
          <w:lang w:eastAsia="zh-CN"/>
        </w:rPr>
      </w:pPr>
      <w:bookmarkStart w:id="118" w:name="_Toc152042314"/>
      <w:bookmarkStart w:id="119" w:name="_Toc458504825"/>
      <w:bookmarkStart w:id="120" w:name="_Toc466024507"/>
      <w:bookmarkStart w:id="121" w:name="_Toc342296170"/>
      <w:bookmarkStart w:id="122" w:name="_Toc333587861"/>
      <w:bookmarkStart w:id="123" w:name="_Toc455587223"/>
      <w:bookmarkStart w:id="124" w:name="_Toc144974506"/>
      <w:bookmarkStart w:id="125" w:name="_Toc342297627"/>
      <w:bookmarkStart w:id="126" w:name="_Toc338943708"/>
      <w:bookmarkStart w:id="127" w:name="_Toc179632555"/>
      <w:bookmarkStart w:id="128" w:name="_Toc342294722"/>
      <w:bookmarkStart w:id="129" w:name="_Toc445554696"/>
      <w:bookmarkStart w:id="130" w:name="_Toc371415926"/>
      <w:bookmarkStart w:id="131" w:name="_Toc333599667"/>
      <w:bookmarkStart w:id="132" w:name="_Toc338944613"/>
      <w:bookmarkStart w:id="133" w:name="_Toc152045538"/>
      <w:bookmarkStart w:id="134" w:name="_Toc455587039"/>
      <w:bookmarkStart w:id="135" w:name="_Toc333600691"/>
      <w:r>
        <w:rPr>
          <w:rFonts w:hint="eastAsia" w:ascii="宋体" w:hAnsi="宋体" w:eastAsia="宋体" w:cs="宋体"/>
          <w:b/>
          <w:bCs/>
          <w:color w:val="auto"/>
          <w:sz w:val="24"/>
          <w:szCs w:val="24"/>
          <w:highlight w:val="none"/>
          <w:lang w:eastAsia="zh-CN"/>
        </w:rPr>
        <w:t xml:space="preserve">1.7 </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b/>
          <w:bCs/>
          <w:color w:val="auto"/>
          <w:sz w:val="24"/>
          <w:szCs w:val="24"/>
          <w:highlight w:val="none"/>
          <w:lang w:eastAsia="zh-CN"/>
        </w:rPr>
        <w:t>响应文件成交准和计量单位的使用</w:t>
      </w:r>
    </w:p>
    <w:p w14:paraId="4FC83CB4">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eastAsia="zh-CN"/>
        </w:rPr>
      </w:pPr>
      <w:bookmarkStart w:id="136" w:name="_Toc455587040"/>
      <w:bookmarkStart w:id="137" w:name="_Toc455587224"/>
      <w:bookmarkStart w:id="138" w:name="_Toc445554697"/>
      <w:bookmarkStart w:id="139" w:name="_Toc371415927"/>
      <w:bookmarkStart w:id="140" w:name="_Toc458504826"/>
      <w:bookmarkStart w:id="141" w:name="_Toc466024508"/>
      <w:bookmarkStart w:id="142" w:name="_Toc333600693"/>
      <w:bookmarkStart w:id="143" w:name="_Toc342297629"/>
      <w:bookmarkStart w:id="144" w:name="_Toc152042316"/>
      <w:bookmarkStart w:id="145" w:name="_Toc338943710"/>
      <w:bookmarkStart w:id="146" w:name="_Toc152045540"/>
      <w:bookmarkStart w:id="147" w:name="_Toc179632557"/>
      <w:bookmarkStart w:id="148" w:name="_Toc333599669"/>
      <w:bookmarkStart w:id="149" w:name="_Toc342296172"/>
      <w:bookmarkStart w:id="150" w:name="_Toc144974508"/>
      <w:bookmarkStart w:id="151" w:name="_Toc342294724"/>
      <w:bookmarkStart w:id="152" w:name="_Toc333587863"/>
      <w:bookmarkStart w:id="153" w:name="_Toc338944615"/>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无论谈判文件中是否要求，供应商所投货物及伴随的服务和工程均应符合国家强制性标准。</w:t>
      </w:r>
    </w:p>
    <w:p w14:paraId="32B451C5">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1.7.2</w:t>
      </w:r>
      <w:r>
        <w:rPr>
          <w:rFonts w:hint="eastAsia" w:ascii="宋体" w:hAnsi="宋体" w:eastAsia="宋体" w:cs="宋体"/>
          <w:color w:val="auto"/>
          <w:sz w:val="24"/>
          <w:szCs w:val="24"/>
          <w:highlight w:val="none"/>
          <w:lang w:eastAsia="zh-CN"/>
        </w:rPr>
        <w:t>供应商与采购代理机构之间与谈判有关的所有往来通知、函件和响应文件均用中文表述。供应商随响应文件提供的证明文件和资料可以为其它语言， 但必须附中文译文。翻译的中文资料与外文资料如果出现差异时，以中文为准。</w:t>
      </w:r>
    </w:p>
    <w:p w14:paraId="4F8DEECC">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1.7.3</w:t>
      </w:r>
      <w:r>
        <w:rPr>
          <w:rFonts w:hint="eastAsia" w:ascii="宋体" w:hAnsi="宋体" w:eastAsia="宋体" w:cs="宋体"/>
          <w:color w:val="auto"/>
          <w:sz w:val="24"/>
          <w:szCs w:val="24"/>
          <w:highlight w:val="none"/>
          <w:lang w:eastAsia="zh-CN"/>
        </w:rPr>
        <w:t>除谈判文件中有特殊要求外，响应文件中所使用的计量单位，应采用中华人民共和国法定计量单位。</w:t>
      </w:r>
    </w:p>
    <w:bookmarkEnd w:id="136"/>
    <w:bookmarkEnd w:id="137"/>
    <w:bookmarkEnd w:id="138"/>
    <w:bookmarkEnd w:id="139"/>
    <w:bookmarkEnd w:id="140"/>
    <w:p w14:paraId="28EFFD9A">
      <w:pPr>
        <w:keepNext w:val="0"/>
        <w:keepLines w:val="0"/>
        <w:pageBreakBefore w:val="0"/>
        <w:shd w:val="clear"/>
        <w:kinsoku/>
        <w:wordWrap/>
        <w:overflowPunct/>
        <w:topLinePunct w:val="0"/>
        <w:bidi w:val="0"/>
        <w:adjustRightInd w:val="0"/>
        <w:snapToGrid/>
        <w:spacing w:line="360" w:lineRule="auto"/>
        <w:ind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1.8 现场考察</w:t>
      </w:r>
      <w:bookmarkEnd w:id="141"/>
    </w:p>
    <w:p w14:paraId="07FD18A7">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r>
        <w:rPr>
          <w:rFonts w:hint="eastAsia" w:ascii="宋体" w:hAnsi="宋体" w:eastAsia="宋体" w:cs="宋体"/>
          <w:color w:val="auto"/>
          <w:sz w:val="24"/>
          <w:szCs w:val="24"/>
          <w:highlight w:val="none"/>
        </w:rPr>
        <w:t>.1 供应商须知前附表规定组织现场考察的，采购人按供应商须知前附表规定的时间、地点组织供应商现场考察。采购人不组织统一现场考察的，由供应商自行考察现场。</w:t>
      </w:r>
    </w:p>
    <w:p w14:paraId="1CD6955C">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r>
        <w:rPr>
          <w:rFonts w:hint="eastAsia" w:ascii="宋体" w:hAnsi="宋体" w:eastAsia="宋体" w:cs="宋体"/>
          <w:color w:val="auto"/>
          <w:sz w:val="24"/>
          <w:szCs w:val="24"/>
          <w:highlight w:val="none"/>
        </w:rPr>
        <w:t>.2 供应商现场考察发生的费用自理。</w:t>
      </w:r>
    </w:p>
    <w:p w14:paraId="2C0C1251">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r>
        <w:rPr>
          <w:rFonts w:hint="eastAsia" w:ascii="宋体" w:hAnsi="宋体" w:eastAsia="宋体" w:cs="宋体"/>
          <w:color w:val="auto"/>
          <w:sz w:val="24"/>
          <w:szCs w:val="24"/>
          <w:highlight w:val="none"/>
        </w:rPr>
        <w:t>.3 除采购人的原因外，供应商自行负责在现场考察中所发生的人员伤亡和财产损失。</w:t>
      </w:r>
    </w:p>
    <w:p w14:paraId="10355668">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r>
        <w:rPr>
          <w:rFonts w:hint="eastAsia" w:ascii="宋体" w:hAnsi="宋体" w:eastAsia="宋体" w:cs="宋体"/>
          <w:color w:val="auto"/>
          <w:sz w:val="24"/>
          <w:szCs w:val="24"/>
          <w:highlight w:val="none"/>
        </w:rPr>
        <w:t>.4 采购人在现场考察中介绍的现场情况和周边相关的环境情况，仅作为供应商在编制响应文件时参考，采购人不对供应商据此作出的判断和决策负责。</w:t>
      </w:r>
    </w:p>
    <w:p w14:paraId="03B55FE7">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r>
        <w:rPr>
          <w:rFonts w:hint="eastAsia" w:ascii="宋体" w:hAnsi="宋体" w:eastAsia="宋体" w:cs="宋体"/>
          <w:color w:val="auto"/>
          <w:sz w:val="24"/>
          <w:szCs w:val="24"/>
          <w:highlight w:val="none"/>
        </w:rPr>
        <w:t>.5 除非有特殊要求，</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文件不单独提供供货使用地的自然环境、气候条件、公用设施等情况，供应商被视为熟悉上述与履行合同有关的一切情况。</w:t>
      </w:r>
    </w:p>
    <w:bookmarkEnd w:id="142"/>
    <w:bookmarkEnd w:id="143"/>
    <w:bookmarkEnd w:id="144"/>
    <w:bookmarkEnd w:id="145"/>
    <w:bookmarkEnd w:id="146"/>
    <w:bookmarkEnd w:id="147"/>
    <w:bookmarkEnd w:id="148"/>
    <w:bookmarkEnd w:id="149"/>
    <w:bookmarkEnd w:id="150"/>
    <w:bookmarkEnd w:id="151"/>
    <w:bookmarkEnd w:id="152"/>
    <w:bookmarkEnd w:id="153"/>
    <w:p w14:paraId="00FB0B62">
      <w:pPr>
        <w:keepNext w:val="0"/>
        <w:keepLines w:val="0"/>
        <w:pageBreakBefore w:val="0"/>
        <w:shd w:val="clear"/>
        <w:kinsoku/>
        <w:wordWrap/>
        <w:overflowPunct/>
        <w:topLinePunct w:val="0"/>
        <w:bidi w:val="0"/>
        <w:adjustRightInd w:val="0"/>
        <w:snapToGrid/>
        <w:spacing w:line="360" w:lineRule="auto"/>
        <w:ind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1.9 分包</w:t>
      </w:r>
    </w:p>
    <w:p w14:paraId="65FD4E20">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rPr>
        <w:t xml:space="preserve">.1 供应商拟在成交后将成交项目的非主体、非关键性工作进行分包的，应符合供应商须知前附表规定的分包内容、分包金额，分包承担主体应当具备相应资质条件且不得再次分包，除供应商须知前附表规定的非主体、非关键性工作外，其他工作不得分包。 </w:t>
      </w:r>
    </w:p>
    <w:p w14:paraId="2CB9442C">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rPr>
        <w:t>.2 成交供应商不得向他人转让成交项目。成交供应商应当就分包项目向采购人负责，分包承担主体就分包项目承担连带责任。</w:t>
      </w:r>
    </w:p>
    <w:p w14:paraId="3862230B">
      <w:pPr>
        <w:keepNext w:val="0"/>
        <w:keepLines w:val="0"/>
        <w:pageBreakBefore w:val="0"/>
        <w:shd w:val="clear"/>
        <w:kinsoku/>
        <w:wordWrap/>
        <w:overflowPunct/>
        <w:topLinePunct w:val="0"/>
        <w:autoSpaceDE w:val="0"/>
        <w:autoSpaceDN w:val="0"/>
        <w:bidi w:val="0"/>
        <w:adjustRightInd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2.定义</w:t>
      </w:r>
    </w:p>
    <w:p w14:paraId="21D276CF">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货物：系指成交供应商根据合同约定应向采购人履行的除货物和工程以外的其他政府采购对象，包括采购人自身需要的服务和向社会公众提供的公共服务。</w:t>
      </w:r>
    </w:p>
    <w:p w14:paraId="443EB678">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时限（年份、月份等）计算：系指从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之日向前追溯 X 年/月（“X” 为“一”及以后整数）起算。</w:t>
      </w:r>
    </w:p>
    <w:p w14:paraId="3494D948">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业绩：除非本谈判文件中另有规定，业绩系指符合本谈判文件规定的与最终用户签订的合同。供应商与其关联公司（如母公司、控股公司、分公司、子公司、同一法定代表人的公司等）之间签订的合同，均不予认可。</w:t>
      </w:r>
    </w:p>
    <w:p w14:paraId="45F05874">
      <w:pPr>
        <w:keepNext w:val="0"/>
        <w:keepLines w:val="0"/>
        <w:pageBreakBefore w:val="0"/>
        <w:widowControl/>
        <w:shd w:val="clear"/>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除非本谈判文件中另有规定，否则业绩均为已服务完毕的业绩，业绩时间均以合同签订之日为追溯节点。</w:t>
      </w:r>
    </w:p>
    <w:p w14:paraId="03A6D049">
      <w:pPr>
        <w:keepNext w:val="0"/>
        <w:keepLines w:val="0"/>
        <w:pageBreakBefore w:val="0"/>
        <w:shd w:val="clear"/>
        <w:kinsoku/>
        <w:wordWrap/>
        <w:overflowPunct/>
        <w:topLinePunct w:val="0"/>
        <w:autoSpaceDE w:val="0"/>
        <w:autoSpaceDN w:val="0"/>
        <w:bidi w:val="0"/>
        <w:adjustRightInd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3.采购人、采购代理机构及供应商</w:t>
      </w:r>
    </w:p>
    <w:p w14:paraId="006FE9AD">
      <w:pPr>
        <w:keepNext w:val="0"/>
        <w:keepLines w:val="0"/>
        <w:pageBreakBefore w:val="0"/>
        <w:shd w:val="clear"/>
        <w:kinsoku/>
        <w:wordWrap/>
        <w:overflowPunct/>
        <w:topLinePunct w:val="0"/>
        <w:bidi w:val="0"/>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.1采购人：</w:t>
      </w:r>
      <w:r>
        <w:rPr>
          <w:rFonts w:hint="eastAsia" w:ascii="宋体" w:hAnsi="宋体" w:eastAsia="宋体" w:cs="宋体"/>
          <w:color w:val="auto"/>
          <w:sz w:val="24"/>
          <w:szCs w:val="24"/>
          <w:highlight w:val="none"/>
        </w:rPr>
        <w:t>是指依法开展政府采购活动的国家机关、事业单位、团体组织。</w:t>
      </w:r>
    </w:p>
    <w:p w14:paraId="5266BF41">
      <w:pPr>
        <w:keepNext w:val="0"/>
        <w:keepLines w:val="0"/>
        <w:pageBreakBefore w:val="0"/>
        <w:shd w:val="clear"/>
        <w:kinsoku/>
        <w:wordWrap/>
        <w:overflowPunct/>
        <w:topLinePunct w:val="0"/>
        <w:bidi w:val="0"/>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.2采购代理机构：</w:t>
      </w:r>
      <w:r>
        <w:rPr>
          <w:rFonts w:hint="eastAsia" w:ascii="宋体" w:hAnsi="宋体" w:eastAsia="宋体" w:cs="宋体"/>
          <w:color w:val="auto"/>
          <w:sz w:val="24"/>
          <w:szCs w:val="24"/>
          <w:highlight w:val="none"/>
        </w:rPr>
        <w:t>是指集中采购机构或从事采购代理业务的社会中介机构。</w:t>
      </w:r>
    </w:p>
    <w:p w14:paraId="0878FA5E">
      <w:pPr>
        <w:keepNext w:val="0"/>
        <w:keepLines w:val="0"/>
        <w:pageBreakBefore w:val="0"/>
        <w:shd w:val="clear"/>
        <w:kinsoku/>
        <w:wordWrap/>
        <w:overflowPunct/>
        <w:topLinePunct w:val="0"/>
        <w:bidi w:val="0"/>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.3政府采购监督管理部门：</w:t>
      </w:r>
      <w:r>
        <w:rPr>
          <w:rFonts w:hint="eastAsia" w:ascii="宋体" w:hAnsi="宋体" w:eastAsia="宋体" w:cs="宋体"/>
          <w:b w:val="0"/>
          <w:bCs w:val="0"/>
          <w:color w:val="auto"/>
          <w:sz w:val="24"/>
          <w:szCs w:val="24"/>
          <w:highlight w:val="none"/>
        </w:rPr>
        <w:t>各级人民政府指定的有关部门，依法履行与政府采购活动有关的监督管理职责。本项目的政府采购监督管理部门见供应商须知前附表。</w:t>
      </w:r>
    </w:p>
    <w:p w14:paraId="103A2274">
      <w:pPr>
        <w:keepNext w:val="0"/>
        <w:keepLines w:val="0"/>
        <w:pageBreakBefore w:val="0"/>
        <w:shd w:val="clear"/>
        <w:kinsoku/>
        <w:wordWrap/>
        <w:overflowPunct/>
        <w:topLinePunct w:val="0"/>
        <w:bidi w:val="0"/>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.4供应商：</w:t>
      </w:r>
      <w:r>
        <w:rPr>
          <w:rFonts w:hint="eastAsia" w:ascii="宋体" w:hAnsi="宋体" w:eastAsia="宋体" w:cs="宋体"/>
          <w:color w:val="auto"/>
          <w:sz w:val="24"/>
          <w:szCs w:val="24"/>
          <w:highlight w:val="none"/>
        </w:rPr>
        <w:t>是指向采购人提供货物、工程或者服务的法人、</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组织或者自然人。分支机构不得参加政府采购活动，但银行、保险、石油石化、电力、电信等特殊行业除外。本项目的供应商及其所投货物须满足以下条件：</w:t>
      </w:r>
    </w:p>
    <w:p w14:paraId="0F3A2B5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具备《中华人民共和国政府采购法》第二十二条关于供应商条件的规定，遵守本项目采购人本级和上级财政部门政府采购的有关规定。</w:t>
      </w:r>
    </w:p>
    <w:p w14:paraId="7A53404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以采购代理机构认可的方式获得了本项目的</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39950AB9">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.5若</w:t>
      </w:r>
      <w:r>
        <w:rPr>
          <w:rFonts w:hint="eastAsia" w:ascii="宋体" w:hAnsi="宋体" w:eastAsia="宋体" w:cs="宋体"/>
          <w:bCs/>
          <w:color w:val="auto"/>
          <w:kern w:val="0"/>
          <w:sz w:val="24"/>
          <w:szCs w:val="24"/>
          <w:highlight w:val="none"/>
          <w:lang w:eastAsia="zh-CN"/>
        </w:rPr>
        <w:t>竞争性谈判</w:t>
      </w:r>
      <w:r>
        <w:rPr>
          <w:rFonts w:hint="eastAsia" w:ascii="宋体" w:hAnsi="宋体" w:eastAsia="宋体" w:cs="宋体"/>
          <w:bCs/>
          <w:color w:val="auto"/>
          <w:kern w:val="0"/>
          <w:sz w:val="24"/>
          <w:szCs w:val="24"/>
          <w:highlight w:val="none"/>
        </w:rPr>
        <w:t>公告中允许联合体参加</w:t>
      </w:r>
      <w:r>
        <w:rPr>
          <w:rFonts w:hint="eastAsia" w:ascii="宋体" w:hAnsi="宋体" w:eastAsia="宋体" w:cs="宋体"/>
          <w:bCs/>
          <w:color w:val="auto"/>
          <w:kern w:val="0"/>
          <w:sz w:val="24"/>
          <w:szCs w:val="24"/>
          <w:highlight w:val="none"/>
          <w:lang w:eastAsia="zh-CN"/>
        </w:rPr>
        <w:t>谈判</w:t>
      </w:r>
      <w:r>
        <w:rPr>
          <w:rFonts w:hint="eastAsia" w:ascii="宋体" w:hAnsi="宋体" w:eastAsia="宋体" w:cs="宋体"/>
          <w:bCs/>
          <w:color w:val="auto"/>
          <w:kern w:val="0"/>
          <w:sz w:val="24"/>
          <w:szCs w:val="24"/>
          <w:highlight w:val="none"/>
        </w:rPr>
        <w:t>，对联合体规定如下：</w:t>
      </w:r>
    </w:p>
    <w:p w14:paraId="18B129D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.5.1两个以上供应商可以组成一个</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联合体，以一个供应商的身份</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rPr>
        <w:t>联合体参加</w:t>
      </w:r>
      <w:r>
        <w:rPr>
          <w:rFonts w:hint="eastAsia" w:ascii="宋体" w:hAnsi="宋体" w:eastAsia="宋体" w:cs="宋体"/>
          <w:b w:val="0"/>
          <w:color w:val="auto"/>
          <w:sz w:val="24"/>
          <w:szCs w:val="24"/>
          <w:highlight w:val="none"/>
          <w:lang w:eastAsia="zh-CN"/>
        </w:rPr>
        <w:t>谈判</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谈判</w:t>
      </w:r>
      <w:r>
        <w:rPr>
          <w:rFonts w:hint="eastAsia" w:ascii="宋体" w:hAnsi="宋体" w:eastAsia="宋体" w:cs="宋体"/>
          <w:b w:val="0"/>
          <w:color w:val="auto"/>
          <w:sz w:val="24"/>
          <w:szCs w:val="24"/>
          <w:highlight w:val="none"/>
        </w:rPr>
        <w:t>文件获取手续由联合体中任一成员单位办理均可。</w:t>
      </w:r>
    </w:p>
    <w:p w14:paraId="744755B0">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.5.2联合体各方均应符合《中华人民共和国政府采购法》第二十二条规定的条件。</w:t>
      </w:r>
    </w:p>
    <w:p w14:paraId="3AB55A63">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.5.3采购人根据采购项目对供应商的特殊要求，联合体中至少应当有一方符合相关规定。</w:t>
      </w:r>
    </w:p>
    <w:p w14:paraId="6487E8A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.5.4联合体各方应签订联合协议，明确约定联合体各方承担的工作和相应的责任，并将联合协议作为响应文件的一部分提交。</w:t>
      </w:r>
    </w:p>
    <w:p w14:paraId="7501761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.5.5大中型企业、其他自然人、法人或者非法人组织与小型、微型企业组成联合体共同参加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，联合协议中应写明小型、微型企业的协议合同金额占到联合协议合同总金额的比例。</w:t>
      </w:r>
    </w:p>
    <w:p w14:paraId="0DE7822D">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.5.6联合体中有同类资质的供应商按照联合体分工承担相同工作的，应当按照资质等级较低的供应商确定资质等级。</w:t>
      </w:r>
    </w:p>
    <w:p w14:paraId="1F26C15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.5.7以联合体形式参加政府采购活动的，联合体各方不得再单独参加或者与其他供应商另外组成联合体参加本项目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，否则相关响应文件将被认定为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DE2D47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.5.8对联合体参加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的其他资格要求见</w:t>
      </w:r>
      <w:r>
        <w:rPr>
          <w:rFonts w:hint="eastAsia" w:ascii="宋体" w:hAnsi="宋体" w:eastAsia="宋体" w:cs="宋体"/>
          <w:color w:val="auto"/>
          <w:sz w:val="24"/>
          <w:szCs w:val="24"/>
          <w:highlight w:val="none"/>
          <w:lang w:val="en-US" w:eastAsia="zh-CN"/>
        </w:rPr>
        <w:t>申请人的</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p>
    <w:p w14:paraId="0168382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3.6单位负责人为同一人或者存在直接控股、管理关系的不同供应商，不得参加同一合同项下的政府采购活动。否则其相关响应文件将被认定为</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color w:val="auto"/>
          <w:sz w:val="24"/>
          <w:szCs w:val="24"/>
          <w:highlight w:val="none"/>
          <w:lang w:val="en-US" w:eastAsia="zh-CN"/>
        </w:rPr>
        <w:t>。</w:t>
      </w:r>
    </w:p>
    <w:p w14:paraId="2E6797B5">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为采购项目提供整体设计、规范编制或者项目管理、监理、检测等服务的供应商，不得再参加该采购项目的其他采购活动。</w:t>
      </w:r>
    </w:p>
    <w:p w14:paraId="7BA0917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采购活动”指为采购项目提供整体设计、规范编制和项目管理、监理、检测等服务之外的采购活动。供应商可以同时承担项目的整体设计、规范编制和项目管理、监理、检测等服务，具体详见《关于〈中华人民共和国政府采购法实施条例〉第十八条第二款法律适用的函》（财办库〔2015〕295号）。</w:t>
      </w:r>
    </w:p>
    <w:p w14:paraId="181E5C5F">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.资金</w:t>
      </w:r>
      <w:r>
        <w:rPr>
          <w:rFonts w:hint="eastAsia" w:ascii="宋体" w:hAnsi="宋体" w:eastAsia="宋体" w:cs="宋体"/>
          <w:b/>
          <w:color w:val="auto"/>
          <w:sz w:val="24"/>
          <w:szCs w:val="24"/>
          <w:highlight w:val="none"/>
          <w:lang w:val="en-US" w:eastAsia="zh-CN"/>
        </w:rPr>
        <w:t>落实情况</w:t>
      </w:r>
    </w:p>
    <w:p w14:paraId="283C18E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.1本项目的采购人已获得足以支付本次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后所签订的合同项下的资金。</w:t>
      </w:r>
    </w:p>
    <w:p w14:paraId="0E80A955">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项目预算金额或分项（或分包）预算金额见</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w:t>
      </w:r>
    </w:p>
    <w:p w14:paraId="68D52560">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文件构成</w:t>
      </w:r>
    </w:p>
    <w:p w14:paraId="04C46EF6">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文件包括下列内容：</w:t>
      </w:r>
    </w:p>
    <w:p w14:paraId="2016563B">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竞争性谈判公告</w:t>
      </w:r>
    </w:p>
    <w:p w14:paraId="1B33D7BB">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04320A9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1A0CAB10">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评审方法和标准</w:t>
      </w:r>
    </w:p>
    <w:p w14:paraId="7C2F3F0D">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政府采购合同</w:t>
      </w:r>
    </w:p>
    <w:p w14:paraId="74BA521D">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响应文件格式</w:t>
      </w:r>
    </w:p>
    <w:p w14:paraId="38EE2C18">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第七章  </w:t>
      </w:r>
      <w:r>
        <w:rPr>
          <w:rFonts w:hint="eastAsia" w:ascii="宋体" w:hAnsi="宋体" w:eastAsia="宋体" w:cs="宋体"/>
          <w:color w:val="auto"/>
          <w:sz w:val="24"/>
          <w:szCs w:val="24"/>
          <w:highlight w:val="none"/>
        </w:rPr>
        <w:t>政府采购供应商询问函和质疑函范本</w:t>
      </w:r>
    </w:p>
    <w:p w14:paraId="0E019EC7">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现场考察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标前答疑会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及相关事项见</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w:t>
      </w:r>
    </w:p>
    <w:p w14:paraId="099DC22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供应商应认真阅读</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文件所有的事项、格式、条款和技术规范等。</w:t>
      </w:r>
    </w:p>
    <w:p w14:paraId="657FCF2E">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竞争性谈判</w:t>
      </w:r>
      <w:r>
        <w:rPr>
          <w:rFonts w:hint="eastAsia" w:ascii="宋体" w:hAnsi="宋体" w:eastAsia="宋体" w:cs="宋体"/>
          <w:b/>
          <w:color w:val="auto"/>
          <w:sz w:val="24"/>
          <w:szCs w:val="24"/>
          <w:highlight w:val="none"/>
        </w:rPr>
        <w:t>文件的澄清与修改</w:t>
      </w:r>
    </w:p>
    <w:p w14:paraId="0E59CD8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.1供应商如对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文件内容有疑问，必须在</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规定的截止时间前以</w:t>
      </w:r>
      <w:r>
        <w:rPr>
          <w:rFonts w:hint="eastAsia" w:ascii="宋体" w:hAnsi="宋体" w:eastAsia="宋体" w:cs="宋体"/>
          <w:color w:val="auto"/>
          <w:sz w:val="24"/>
          <w:szCs w:val="24"/>
          <w:highlight w:val="none"/>
          <w:lang w:val="en-US" w:eastAsia="zh-CN"/>
        </w:rPr>
        <w:t>电子邮箱的形式</w:t>
      </w:r>
      <w:r>
        <w:rPr>
          <w:rFonts w:hint="eastAsia" w:ascii="宋体" w:hAnsi="宋体" w:eastAsia="宋体" w:cs="宋体"/>
          <w:color w:val="auto"/>
          <w:sz w:val="24"/>
          <w:szCs w:val="24"/>
          <w:highlight w:val="none"/>
        </w:rPr>
        <w:t>提交给采购代理机构。</w:t>
      </w:r>
    </w:p>
    <w:p w14:paraId="01B2CB55">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.2采购人可主动地或在</w:t>
      </w:r>
      <w:r>
        <w:rPr>
          <w:rFonts w:hint="eastAsia" w:ascii="宋体" w:hAnsi="宋体" w:eastAsia="宋体" w:cs="宋体"/>
          <w:color w:val="auto"/>
          <w:sz w:val="24"/>
          <w:szCs w:val="24"/>
          <w:highlight w:val="none"/>
          <w:lang w:val="en-US" w:eastAsia="zh-CN"/>
        </w:rPr>
        <w:t>答复供应商</w:t>
      </w:r>
      <w:r>
        <w:rPr>
          <w:rFonts w:hint="eastAsia" w:ascii="宋体" w:hAnsi="宋体" w:eastAsia="宋体" w:cs="宋体"/>
          <w:color w:val="auto"/>
          <w:sz w:val="24"/>
          <w:szCs w:val="24"/>
          <w:highlight w:val="none"/>
        </w:rPr>
        <w:t>提出的</w:t>
      </w:r>
      <w:r>
        <w:rPr>
          <w:rFonts w:hint="eastAsia" w:ascii="宋体" w:hAnsi="宋体" w:eastAsia="宋体" w:cs="宋体"/>
          <w:color w:val="auto"/>
          <w:sz w:val="24"/>
          <w:szCs w:val="24"/>
          <w:highlight w:val="none"/>
          <w:lang w:val="en-US" w:eastAsia="zh-CN"/>
        </w:rPr>
        <w:t>询问</w:t>
      </w:r>
      <w:r>
        <w:rPr>
          <w:rFonts w:hint="eastAsia" w:ascii="宋体" w:hAnsi="宋体" w:eastAsia="宋体" w:cs="宋体"/>
          <w:color w:val="auto"/>
          <w:sz w:val="24"/>
          <w:szCs w:val="24"/>
          <w:highlight w:val="none"/>
        </w:rPr>
        <w:t>时对</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文件进行澄清与修改。采购代理机构将在原公告发布媒体上发布澄清公告以发布更正公告的方式澄清或者修改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文件，更正公告的内容作为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文件的组成部分，对供应商起约束作用。供应商应主动上网查询。采购代理机构不承担供应商未及时关注相关信息引发的相关责任。</w:t>
      </w:r>
    </w:p>
    <w:p w14:paraId="60F5462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.3任何人或任何组织向供应商提供的任何书面或口头资料，未经采购代理机构在网上发布或书面通知，均作无效处理，不得作为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文件的组成部分。采购代理机构对供应商由此而做出的推论、理解和结论概不负责。</w:t>
      </w:r>
    </w:p>
    <w:p w14:paraId="7872ACED">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.4对于没有提出询问又参与了本项目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的供应商将被视为完全认同本</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文件（含更正公告的内容）</w:t>
      </w:r>
      <w:r>
        <w:rPr>
          <w:rFonts w:hint="eastAsia" w:ascii="宋体" w:hAnsi="宋体" w:eastAsia="宋体" w:cs="宋体"/>
          <w:color w:val="auto"/>
          <w:sz w:val="24"/>
          <w:szCs w:val="24"/>
          <w:highlight w:val="none"/>
          <w:lang w:eastAsia="zh-CN"/>
        </w:rPr>
        <w:t>。</w:t>
      </w:r>
    </w:p>
    <w:p w14:paraId="1C2882F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6.5供应商提出质疑的相关要求：见供应商须知前附表。</w:t>
      </w:r>
    </w:p>
    <w:p w14:paraId="08A0A89D">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.响应文件构成</w:t>
      </w:r>
    </w:p>
    <w:p w14:paraId="127BBD18">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应完整地按</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文件提供的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文件格式及要求编写</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文件，具体内容详见本项目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文件格式的相关内容。</w:t>
      </w:r>
    </w:p>
    <w:p w14:paraId="0A2267A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7.2供应商</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文件要求的证明文件，证明其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内容符合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该证明文件是</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文件的一部分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证明文件</w:t>
      </w:r>
      <w:r>
        <w:rPr>
          <w:rFonts w:hint="eastAsia" w:ascii="宋体" w:hAnsi="宋体" w:eastAsia="宋体" w:cs="宋体"/>
          <w:color w:val="auto"/>
          <w:sz w:val="24"/>
          <w:szCs w:val="24"/>
          <w:highlight w:val="none"/>
          <w:lang w:val="en-US" w:eastAsia="zh-CN"/>
        </w:rPr>
        <w:t>形式</w:t>
      </w:r>
      <w:r>
        <w:rPr>
          <w:rFonts w:hint="eastAsia" w:ascii="宋体" w:hAnsi="宋体" w:eastAsia="宋体" w:cs="宋体"/>
          <w:color w:val="auto"/>
          <w:sz w:val="24"/>
          <w:szCs w:val="24"/>
          <w:highlight w:val="none"/>
        </w:rPr>
        <w:t>可以是文字资料、图纸和数据</w:t>
      </w:r>
      <w:r>
        <w:rPr>
          <w:rFonts w:hint="eastAsia" w:ascii="宋体" w:hAnsi="宋体" w:eastAsia="宋体" w:cs="宋体"/>
          <w:color w:val="auto"/>
          <w:sz w:val="24"/>
          <w:szCs w:val="24"/>
          <w:highlight w:val="none"/>
          <w:lang w:val="en-US" w:eastAsia="zh-CN"/>
        </w:rPr>
        <w:t>等。</w:t>
      </w:r>
    </w:p>
    <w:p w14:paraId="4FCCCB5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w:t>
      </w:r>
      <w:r>
        <w:rPr>
          <w:rFonts w:hint="eastAsia" w:ascii="宋体" w:hAnsi="宋体" w:eastAsia="宋体" w:cs="宋体"/>
          <w:color w:val="auto"/>
          <w:sz w:val="24"/>
          <w:szCs w:val="24"/>
          <w:highlight w:val="none"/>
        </w:rPr>
        <w:t>为保证公平公正，除非另有规定或说明，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对同一项目</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时，不得同时提供备选</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方案。</w:t>
      </w:r>
    </w:p>
    <w:p w14:paraId="30EEE36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7.4上述文件应按照谈判文件规定的格式填写、签署和盖章。</w:t>
      </w:r>
    </w:p>
    <w:p w14:paraId="69220FFC">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8.证明标的的合格性和符合谈判文件规定的技术文件</w:t>
      </w:r>
    </w:p>
    <w:p w14:paraId="544DED05">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8.1供应商应提交谈判文件要求的证明文件，证明其响应内容符合谈判文件规定。该证明文件是响应文件的一部分。</w:t>
      </w:r>
    </w:p>
    <w:p w14:paraId="264D69D9">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8.2上款所述的证明文件，可以是文字资料、图纸和数据。</w:t>
      </w:r>
    </w:p>
    <w:p w14:paraId="249B11F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8.3本条所指证明文件不包括对谈判文件相关部分的文字、图标的复制。</w:t>
      </w:r>
    </w:p>
    <w:p w14:paraId="7B19B207">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谈判小组来评判。</w:t>
      </w:r>
    </w:p>
    <w:p w14:paraId="503D9D6E">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.报价</w:t>
      </w:r>
    </w:p>
    <w:p w14:paraId="106B5B1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.1供应商的报价应当包括满足本次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全部采购需求所应提供的货物，以及伴随的服务和工程。</w:t>
      </w:r>
      <w:r>
        <w:rPr>
          <w:rFonts w:hint="eastAsia" w:ascii="宋体" w:hAnsi="宋体" w:eastAsia="宋体" w:cs="宋体"/>
          <w:color w:val="auto"/>
          <w:sz w:val="24"/>
          <w:szCs w:val="24"/>
          <w:highlight w:val="none"/>
          <w:lang w:val="en-US" w:eastAsia="zh-CN"/>
        </w:rPr>
        <w:t>除谈判文件另有规定外，</w:t>
      </w:r>
      <w:r>
        <w:rPr>
          <w:rFonts w:hint="eastAsia" w:ascii="宋体" w:hAnsi="宋体" w:eastAsia="宋体" w:cs="宋体"/>
          <w:color w:val="auto"/>
          <w:sz w:val="24"/>
          <w:szCs w:val="24"/>
          <w:highlight w:val="none"/>
        </w:rPr>
        <w:t>所有内容均应以人民币报价，供应商的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报价应遵守《中华人民共和国价格法》。</w:t>
      </w:r>
    </w:p>
    <w:p w14:paraId="1A6157A6">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除非</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文件另有规定或经采购人同意支付的，最后报价均不得高于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文件（公告）列明的项目预算，否则其响应文件将被认定为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688AD3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报价在合同履行过程中是固定不变的，不得以任何理由予以变更。任何包含价格调整要求的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F54BB0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4提交两个或两个以上的响应报价，或者任何有选择性的报价或者有附加条件的报价的，</w:t>
      </w:r>
      <w:r>
        <w:rPr>
          <w:rFonts w:hint="eastAsia" w:ascii="宋体" w:hAnsi="宋体" w:eastAsia="宋体" w:cs="宋体"/>
          <w:color w:val="auto"/>
          <w:sz w:val="24"/>
          <w:szCs w:val="24"/>
          <w:highlight w:val="none"/>
        </w:rPr>
        <w:t>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lang w:val="en-US" w:eastAsia="zh-CN"/>
        </w:rPr>
        <w:t>，供应商须知前附表允许提交备选方案的除外。</w:t>
      </w:r>
    </w:p>
    <w:p w14:paraId="53670AE1">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响应报价为各分项报价之和。如分项报价中存在缺漏项，则视为缺漏项价格已包含在其他分项报价之中。供应商在提交首次响应文件截止时间前修改响应报价一览表中的响应报价总额，应同时修改响应文件“分项报价表”中的相应报价。此修改须符合本章第12.2款的有关要求。</w:t>
      </w:r>
    </w:p>
    <w:p w14:paraId="4A5458B3">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9.6采购人不接受具有附加条件的报价。</w:t>
      </w:r>
    </w:p>
    <w:p w14:paraId="6627ABC7">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 响应报价的其他要求见供应商须知前附表。</w:t>
      </w:r>
    </w:p>
    <w:p w14:paraId="1892D000">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保证金</w:t>
      </w:r>
    </w:p>
    <w:p w14:paraId="037F0A53">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1按照谈判文件执行</w:t>
      </w:r>
      <w:r>
        <w:rPr>
          <w:rFonts w:hint="eastAsia" w:ascii="宋体" w:hAnsi="宋体" w:eastAsia="宋体" w:cs="宋体"/>
          <w:color w:val="auto"/>
          <w:sz w:val="24"/>
          <w:szCs w:val="24"/>
          <w:highlight w:val="none"/>
        </w:rPr>
        <w:t>。</w:t>
      </w:r>
    </w:p>
    <w:p w14:paraId="6ACA54B6">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有效期</w:t>
      </w:r>
    </w:p>
    <w:p w14:paraId="46AAA63D">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有效期为从响应文件提交截止之日算起的日历天数，</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有效期详见</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w:t>
      </w:r>
    </w:p>
    <w:p w14:paraId="464F4D9D">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有效期内，供应商的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保持有效，供应商不得要求撤销或修改其响应文件。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有效期不满足要求的响应，其响应文件将被认定为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D1E7B0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.3为保证有充分时间签订合同，采购人或采购代理机构可根据实际情况，在原</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有效期截止之前，要求供应商延长</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有效期。接受该要求的供应商将不会被要求和允许修正其响应文件。供应商可以拒绝延长</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有效期的要求，且不承担任何责任。上述要求和答复都应以书面形式提交。</w:t>
      </w:r>
    </w:p>
    <w:p w14:paraId="551EB8CF">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12.响应文件的制作</w:t>
      </w:r>
    </w:p>
    <w:p w14:paraId="242DCF71">
      <w:pPr>
        <w:keepNext w:val="0"/>
        <w:keepLines w:val="0"/>
        <w:pageBreakBefore w:val="0"/>
        <w:shd w:val="clear"/>
        <w:kinsoku/>
        <w:wordWrap/>
        <w:overflowPunct/>
        <w:topLinePunct w:val="0"/>
        <w:bidi w:val="0"/>
        <w:snapToGrid/>
        <w:spacing w:line="360" w:lineRule="auto"/>
        <w:ind w:right="0" w:firstLine="480" w:firstLineChars="200"/>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12.1响应文件应按第六章“响应文件格式”进行编写，如有必要，可以增加附页，作为响应文件的组成部分。</w:t>
      </w:r>
    </w:p>
    <w:p w14:paraId="4962FA6B">
      <w:pPr>
        <w:keepNext w:val="0"/>
        <w:keepLines w:val="0"/>
        <w:pageBreakBefore w:val="0"/>
        <w:shd w:val="clear"/>
        <w:kinsoku/>
        <w:wordWrap/>
        <w:overflowPunct/>
        <w:topLinePunct w:val="0"/>
        <w:bidi w:val="0"/>
        <w:snapToGrid/>
        <w:spacing w:line="360" w:lineRule="auto"/>
        <w:ind w:right="0" w:firstLine="480" w:firstLineChars="200"/>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12.2响应文件应当对谈判文件有关服务期、谈判有效期、质量要求、采购需求、采购范围等实质性内容作出响应。</w:t>
      </w:r>
    </w:p>
    <w:p w14:paraId="5C225882">
      <w:pPr>
        <w:keepNext w:val="0"/>
        <w:keepLines w:val="0"/>
        <w:pageBreakBefore w:val="0"/>
        <w:shd w:val="clear"/>
        <w:kinsoku/>
        <w:wordWrap/>
        <w:overflowPunct/>
        <w:topLinePunct w:val="0"/>
        <w:bidi w:val="0"/>
        <w:snapToGrid/>
        <w:spacing w:line="360" w:lineRule="auto"/>
        <w:ind w:right="0" w:firstLine="480" w:firstLineChars="200"/>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12.3响应文件应打印，并由供应商的法定代表人或其委托代理人签字或盖章并加盖单位章。委托代理人签字的，响应文件应附法定代表人签署的授权委托书。</w:t>
      </w:r>
    </w:p>
    <w:p w14:paraId="35FBB94F">
      <w:pPr>
        <w:keepNext w:val="0"/>
        <w:keepLines w:val="0"/>
        <w:pageBreakBefore w:val="0"/>
        <w:shd w:val="clear"/>
        <w:kinsoku/>
        <w:wordWrap/>
        <w:overflowPunct/>
        <w:topLinePunct w:val="0"/>
        <w:bidi w:val="0"/>
        <w:snapToGrid/>
        <w:spacing w:line="360" w:lineRule="auto"/>
        <w:ind w:right="0" w:firstLine="480" w:firstLineChars="200"/>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12.4响应文件的内容：详见第六章“响应文件格式”</w:t>
      </w:r>
    </w:p>
    <w:p w14:paraId="1092C381">
      <w:pPr>
        <w:keepNext w:val="0"/>
        <w:keepLines w:val="0"/>
        <w:pageBreakBefore w:val="0"/>
        <w:shd w:val="clear"/>
        <w:kinsoku/>
        <w:wordWrap/>
        <w:overflowPunct/>
        <w:topLinePunct w:val="0"/>
        <w:bidi w:val="0"/>
        <w:snapToGrid/>
        <w:spacing w:line="360" w:lineRule="auto"/>
        <w:ind w:right="0" w:firstLine="480" w:firstLineChars="200"/>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12.5响应文件正本一份,副本数量见供应商须知前附表。正本和副本的封面上应清楚地标记“正本”或“副本”的字样。当副本和正本不一致时，以正本为准。</w:t>
      </w:r>
    </w:p>
    <w:p w14:paraId="5A69DCC8">
      <w:pPr>
        <w:keepNext w:val="0"/>
        <w:keepLines w:val="0"/>
        <w:pageBreakBefore w:val="0"/>
        <w:shd w:val="clear"/>
        <w:kinsoku/>
        <w:wordWrap/>
        <w:overflowPunct/>
        <w:topLinePunct w:val="0"/>
        <w:bidi w:val="0"/>
        <w:snapToGrid/>
        <w:spacing w:line="360" w:lineRule="auto"/>
        <w:ind w:right="0" w:firstLine="480" w:firstLineChars="200"/>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12.6响应文件的正本与副本应分别装订成册，具体装订要求见供应商须知前附表规定。谈判现场提交的其他材料要求详见供应商须知前附表。</w:t>
      </w:r>
    </w:p>
    <w:p w14:paraId="1BB22658">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13.初审资料</w:t>
      </w:r>
    </w:p>
    <w:p w14:paraId="489B391D">
      <w:pPr>
        <w:keepNext w:val="0"/>
        <w:keepLines w:val="0"/>
        <w:pageBreakBefore w:val="0"/>
        <w:shd w:val="clear"/>
        <w:kinsoku/>
        <w:wordWrap/>
        <w:overflowPunct/>
        <w:topLinePunct w:val="0"/>
        <w:bidi w:val="0"/>
        <w:snapToGrid/>
        <w:spacing w:line="360" w:lineRule="auto"/>
        <w:ind w:right="0" w:firstLine="480" w:firstLineChars="200"/>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13.1 供应商应提供符合竞争性谈判文件要求的相关证明材料复制件。</w:t>
      </w:r>
    </w:p>
    <w:p w14:paraId="32122176">
      <w:pPr>
        <w:keepNext w:val="0"/>
        <w:keepLines w:val="0"/>
        <w:pageBreakBefore w:val="0"/>
        <w:shd w:val="clear"/>
        <w:kinsoku/>
        <w:wordWrap/>
        <w:overflowPunct/>
        <w:topLinePunct w:val="0"/>
        <w:bidi w:val="0"/>
        <w:snapToGrid/>
        <w:spacing w:line="360" w:lineRule="auto"/>
        <w:ind w:right="0" w:firstLine="480" w:firstLineChars="200"/>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13.2 业绩证明材料应附符合竞争性谈判文件规定的证明材料，具体年份要求详见相关章节。</w:t>
      </w:r>
    </w:p>
    <w:p w14:paraId="4ECB4A4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 供应商须知前附表规定接受联合体响应的，本章第3.5.1项至第3.5.3项规定的表格和资料包括联合体各方成员相关情况。</w:t>
      </w:r>
    </w:p>
    <w:p w14:paraId="1E770D47">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14.响应文件提交截止时间</w:t>
      </w:r>
    </w:p>
    <w:p w14:paraId="5AFC61E1">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14.1供应商应在供应商须知前附表中规定的响应文件提交截止时间前，提交响应文件。</w:t>
      </w:r>
    </w:p>
    <w:p w14:paraId="76369A3E">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15</w:t>
      </w:r>
      <w:r>
        <w:rPr>
          <w:rFonts w:hint="eastAsia" w:ascii="宋体" w:hAnsi="宋体" w:eastAsia="宋体" w:cs="宋体"/>
          <w:b/>
          <w:color w:val="auto"/>
          <w:sz w:val="24"/>
          <w:szCs w:val="24"/>
          <w:highlight w:val="none"/>
        </w:rPr>
        <w:t>.响应文件的提交、修改与撤回</w:t>
      </w:r>
    </w:p>
    <w:p w14:paraId="5C03C73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15.1供应商应当在第一章“谈判公告（谈判邀请）”规定的响应文件提交截止时间前，提交响应文件。</w:t>
      </w:r>
    </w:p>
    <w:p w14:paraId="07E91799">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15.2供应商应当在响应文件提交截止时间前完成响应文件的提交并可以补充、修改或者撤回响应文件。未按规定加密或响应文件提交截止时间后送达的响应文件，应当拒收。</w:t>
      </w:r>
    </w:p>
    <w:p w14:paraId="6F65B4C8">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15.3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1C4FF570">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p>
    <w:p w14:paraId="7D483F42">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16</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小组</w:t>
      </w:r>
    </w:p>
    <w:p w14:paraId="15B50949">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.1本项目将依法组建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小组成员由3人以上（含）单数组成，由采购人代表以及有关技术、经济等方面的专家组成。</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小组成员技术、经济等方面专家的确定方式见供应商须知前附表。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小组及其成员应当依照政府采购的有关规定履行相关职责和义务。</w:t>
      </w:r>
    </w:p>
    <w:p w14:paraId="5CAA554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16.2谈判小组成员有下列情形之一的，应当回避：</w:t>
      </w:r>
    </w:p>
    <w:p w14:paraId="3E4DCE3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（1）参加采购活动前三年内，与供应商存在劳动关系，或者担任过供应商的董事、监事，或者是供应商的控股股东或实际控制人；</w:t>
      </w:r>
    </w:p>
    <w:p w14:paraId="1A7F0AC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（2）与供应商的法定代表人（单位负责人）或者负责人有夫妻、直系血亲、三代以内旁系血亲或者近姻亲关系；</w:t>
      </w:r>
    </w:p>
    <w:p w14:paraId="7ED8ACD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（3）与供应商有其他可能影响政府采购活动公平、公正进行的关系。</w:t>
      </w:r>
    </w:p>
    <w:p w14:paraId="3B6C24CD">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谈判与评审过程中，谈判小组成员有回避事由、擅离职守或者因健康等原因不能继续谈判与评审的，采购人有权更换。被更换的谈判小组成员作出的评审结论无效，由更换后的谈判小组成员重新进行谈判与评审。</w:t>
      </w:r>
    </w:p>
    <w:p w14:paraId="0AFE045D">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16.4谈判小组依法对响应文件进行评审，并根据谈判文件规定的程序、评定成交的标准等事项与实质性响应谈判文件要求的供应商进行谈判。</w:t>
      </w:r>
    </w:p>
    <w:p w14:paraId="3CD690C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16.5谈判小组应当从质量和服务均能满足谈判文件实质性响应要求的供应商中，按照评审方法和标准推荐成交候选供应商，并编写评审报告。</w:t>
      </w:r>
    </w:p>
    <w:p w14:paraId="0AEFD19E">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17</w:t>
      </w:r>
      <w:r>
        <w:rPr>
          <w:rFonts w:hint="eastAsia" w:ascii="宋体" w:hAnsi="宋体" w:eastAsia="宋体" w:cs="宋体"/>
          <w:b/>
          <w:color w:val="auto"/>
          <w:sz w:val="24"/>
          <w:szCs w:val="24"/>
          <w:highlight w:val="none"/>
        </w:rPr>
        <w:t>.响应文件的评审与</w:t>
      </w:r>
      <w:r>
        <w:rPr>
          <w:rFonts w:hint="eastAsia" w:ascii="宋体" w:hAnsi="宋体" w:eastAsia="宋体" w:cs="宋体"/>
          <w:b/>
          <w:color w:val="auto"/>
          <w:sz w:val="24"/>
          <w:szCs w:val="24"/>
          <w:highlight w:val="none"/>
          <w:lang w:eastAsia="zh-CN"/>
        </w:rPr>
        <w:t>谈判</w:t>
      </w:r>
    </w:p>
    <w:p w14:paraId="332390CB">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.1采购人和采购代理机构将在</w:t>
      </w:r>
      <w:r>
        <w:rPr>
          <w:rFonts w:hint="eastAsia" w:ascii="宋体" w:hAnsi="宋体" w:eastAsia="宋体" w:cs="宋体"/>
          <w:color w:val="auto"/>
          <w:sz w:val="24"/>
          <w:szCs w:val="24"/>
          <w:highlight w:val="none"/>
          <w:u w:val="none"/>
          <w:lang w:val="en-US" w:eastAsia="zh-CN"/>
        </w:rPr>
        <w:t>竞争性谈判公告</w:t>
      </w:r>
      <w:r>
        <w:rPr>
          <w:rFonts w:hint="eastAsia" w:ascii="宋体" w:hAnsi="宋体" w:eastAsia="宋体" w:cs="宋体"/>
          <w:color w:val="auto"/>
          <w:sz w:val="24"/>
          <w:szCs w:val="24"/>
          <w:highlight w:val="none"/>
        </w:rPr>
        <w:t>规定的时间和地点组织谈判。</w:t>
      </w:r>
    </w:p>
    <w:p w14:paraId="468C362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.2竞争性谈判采用最低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价法评审。</w:t>
      </w:r>
    </w:p>
    <w:p w14:paraId="6246261D">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价法，是指响应文件满足谈判文件全部实质性要求且最后报价最低的供应商为成交候选人的</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方法。</w:t>
      </w:r>
    </w:p>
    <w:p w14:paraId="550B9AA9">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.3谈判小组将按照谈判文件规定的评审方法和标准对供应商独立进行评审。评审程序如下：</w:t>
      </w:r>
    </w:p>
    <w:p w14:paraId="641E65ED">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.3.1初审。谈判小组对供应商必须满足和实质性响应的内容进行评审，供应商未实质性响应谈判文件要求导致响应无效的，谈判小组将以书面询标的方式告知有关供应商。</w:t>
      </w:r>
    </w:p>
    <w:p w14:paraId="27AAD3EB">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www.creditchina.gov.cn)失信被执行人名单、重大税收违法案件当事人名单、中国政府采购网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5553F8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7414E13">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47D4F777">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.3.2谈判。初审合格后，谈判小组将按响应文件提交顺序集中与单一供应商分别进行谈判，并给予所有参加谈判的供应商平等的谈判机会。</w:t>
      </w:r>
    </w:p>
    <w:p w14:paraId="1F18EA1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.3.3报价。谈判结束后，谈判小组应当要求所有继续参加谈判的供应商在规定时间内提交最后报价。</w:t>
      </w:r>
    </w:p>
    <w:p w14:paraId="26CC691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.3.4异常低价响应审查。根据《关于推进解决政府采购异常低价问题的通知》（财库〔2026〕2号），谈判小组进行异常低价响应审查。</w:t>
      </w:r>
    </w:p>
    <w:p w14:paraId="6550755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.4相关说明。</w:t>
      </w:r>
    </w:p>
    <w:p w14:paraId="4B5DDAD2">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.4.1为保证</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 xml:space="preserve">活动顺利进行，供应商可派相关技术人员进行网上答疑； </w:t>
      </w:r>
    </w:p>
    <w:p w14:paraId="257D51B1">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小组根据与供应商</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情况可能实质性变动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文件的内容，包括采购需求中的技术、服务要求以及合同草案条款。</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文件有实质性变动的，经采购人代表确认作为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文件的有效组成部分，</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小组将以书面形式通知所有参加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的供应商。</w:t>
      </w:r>
    </w:p>
    <w:p w14:paraId="216E203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570F46A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.4.4无论何种原因，即使供应商</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时携带了证书材料的原件，但响应文件中未提供与之内容完全一致的扫描件的，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小组可以视同其未提供。</w:t>
      </w:r>
    </w:p>
    <w:p w14:paraId="0EEC55C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小组决定响应文件的响应性及符合性只根据响应文件本身的内容，而不寻求其他外部证据。</w:t>
      </w:r>
    </w:p>
    <w:p w14:paraId="25673497">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.5供应商授权代表对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过程有疑义，以及认为采购人、采购代理机构相关工作人员有需要回避的情形的，应当场提出询问或者回避申请，并说明理由。</w:t>
      </w:r>
    </w:p>
    <w:p w14:paraId="20364A6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17.6响应</w:t>
      </w:r>
      <w:r>
        <w:rPr>
          <w:rFonts w:hint="eastAsia" w:ascii="宋体" w:hAnsi="宋体" w:eastAsia="宋体" w:cs="宋体"/>
          <w:color w:val="auto"/>
          <w:sz w:val="24"/>
          <w:szCs w:val="24"/>
          <w:highlight w:val="none"/>
        </w:rPr>
        <w:t>文件有下列情形，但其他方面符合要求，应当认定通过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（1）文件排序等非实质性的格式、形式问题；</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（2）因签章地方的当前页面签章位置偏移；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（3）除</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文件规定要求加盖供应商等公章以外，其他未盖章的；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文件有明显书写错误的；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（5）除</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文件规定要求法定代表人或授权代表签字以外，其他未签字的。</w:t>
      </w:r>
    </w:p>
    <w:p w14:paraId="5E46EB3E">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重新采购、变更采购方式与</w:t>
      </w:r>
      <w:r>
        <w:rPr>
          <w:rFonts w:hint="eastAsia" w:ascii="宋体" w:hAnsi="宋体" w:eastAsia="宋体" w:cs="宋体"/>
          <w:b/>
          <w:color w:val="auto"/>
          <w:sz w:val="24"/>
          <w:szCs w:val="24"/>
          <w:highlight w:val="none"/>
        </w:rPr>
        <w:t>终止</w:t>
      </w:r>
      <w:r>
        <w:rPr>
          <w:rFonts w:hint="eastAsia" w:ascii="宋体" w:hAnsi="宋体" w:eastAsia="宋体" w:cs="宋体"/>
          <w:b/>
          <w:color w:val="auto"/>
          <w:sz w:val="24"/>
          <w:szCs w:val="24"/>
          <w:highlight w:val="none"/>
          <w:lang w:val="en-US" w:eastAsia="zh-CN"/>
        </w:rPr>
        <w:t>采购</w:t>
      </w:r>
    </w:p>
    <w:p w14:paraId="28BDDC70">
      <w:pPr>
        <w:pStyle w:val="10"/>
        <w:keepNext w:val="0"/>
        <w:keepLines w:val="0"/>
        <w:pageBreakBefore w:val="0"/>
        <w:shd w:val="clear"/>
        <w:kinsoku/>
        <w:wordWrap/>
        <w:overflowPunct/>
        <w:topLinePunct w:val="0"/>
        <w:bidi w:val="0"/>
        <w:snapToGrid/>
        <w:spacing w:after="0" w:line="360" w:lineRule="auto"/>
        <w:ind w:right="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18.1重新采购</w:t>
      </w:r>
    </w:p>
    <w:p w14:paraId="62A7396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18.1.1</w:t>
      </w: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采购活动，发布项目终止公告并说明原因，重新开展采购活动：</w:t>
      </w:r>
    </w:p>
    <w:p w14:paraId="0589A2AD">
      <w:pPr>
        <w:keepNext w:val="0"/>
        <w:keepLines w:val="0"/>
        <w:pageBreakBefore w:val="0"/>
        <w:numPr>
          <w:ilvl w:val="0"/>
          <w:numId w:val="0"/>
        </w:numPr>
        <w:shd w:val="clear"/>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因情况变化，不再符合规定的</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采购方式适用情形的；</w:t>
      </w:r>
    </w:p>
    <w:p w14:paraId="731CD4CD">
      <w:pPr>
        <w:keepNext w:val="0"/>
        <w:keepLines w:val="0"/>
        <w:pageBreakBefore w:val="0"/>
        <w:numPr>
          <w:ilvl w:val="0"/>
          <w:numId w:val="0"/>
        </w:numPr>
        <w:shd w:val="clear"/>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出现影响采购公正的违法、违规行为的；</w:t>
      </w:r>
    </w:p>
    <w:p w14:paraId="6CB00307">
      <w:pPr>
        <w:keepNext w:val="0"/>
        <w:keepLines w:val="0"/>
        <w:pageBreakBefore w:val="0"/>
        <w:numPr>
          <w:ilvl w:val="0"/>
          <w:numId w:val="0"/>
        </w:numPr>
        <w:shd w:val="clear"/>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rPr>
        <w:t>采购过程中符合要求的供应商或者报价未超过采购预算的供应商不足3家的。</w:t>
      </w:r>
    </w:p>
    <w:p w14:paraId="6F827AF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18.1.2除采购任务取消情形外，应当重新组织采购活动；需要采取其他方式采购的，需要批准的应当在采购活动开始前获得批准。</w:t>
      </w:r>
    </w:p>
    <w:p w14:paraId="11127EB3">
      <w:pPr>
        <w:pStyle w:val="10"/>
        <w:keepNext w:val="0"/>
        <w:keepLines w:val="0"/>
        <w:pageBreakBefore w:val="0"/>
        <w:shd w:val="clear"/>
        <w:kinsoku/>
        <w:wordWrap/>
        <w:overflowPunct/>
        <w:topLinePunct w:val="0"/>
        <w:bidi w:val="0"/>
        <w:snapToGrid/>
        <w:spacing w:after="0" w:line="360" w:lineRule="auto"/>
        <w:ind w:righ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18.2终止采购</w:t>
      </w:r>
    </w:p>
    <w:p w14:paraId="1C5F388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18.2.1在采购活动中因重大变故，采购任务取消的，采购人应当终止采购活动，通知所有参加采购活动的供应商。</w:t>
      </w:r>
    </w:p>
    <w:p w14:paraId="5BCC54B6">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19</w:t>
      </w:r>
      <w:r>
        <w:rPr>
          <w:rFonts w:hint="eastAsia" w:ascii="宋体" w:hAnsi="宋体" w:eastAsia="宋体" w:cs="宋体"/>
          <w:b/>
          <w:color w:val="auto"/>
          <w:sz w:val="24"/>
          <w:szCs w:val="24"/>
          <w:highlight w:val="none"/>
        </w:rPr>
        <w:t>.响应文件的澄清、说明或更正</w:t>
      </w:r>
    </w:p>
    <w:p w14:paraId="71F50C4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930B041">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小组要求供应商澄清、说明或者更正响应文件应当以书面形式（询标）作出。供应商的澄清、说明或者更正应当由法定代表人或其授权代表签字或者加盖公章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E156EE6">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.最后报价</w:t>
      </w:r>
    </w:p>
    <w:p w14:paraId="04C0B062">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并不限定只进行二轮报价，如果</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小组认为有必要，可以要求供应商进行多轮报价。</w:t>
      </w:r>
    </w:p>
    <w:p w14:paraId="4766CA86">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内容不做实质性变更或重大调整的前提下，供应商下轮报价不得高于上一轮报价。</w:t>
      </w:r>
    </w:p>
    <w:p w14:paraId="7E4E227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.3最后报价是供应商响应文件的有效组成部分，最后报价也是签订合同的依据。</w:t>
      </w:r>
    </w:p>
    <w:p w14:paraId="6FC48D1A">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rPr>
        <w:t>.成交候选供应商的推荐原则及标准</w:t>
      </w:r>
    </w:p>
    <w:p w14:paraId="270435A9">
      <w:pPr>
        <w:keepNext w:val="0"/>
        <w:keepLines w:val="0"/>
        <w:pageBreakBefore w:val="0"/>
        <w:shd w:val="clear"/>
        <w:kinsoku/>
        <w:wordWrap/>
        <w:overflowPunct/>
        <w:topLinePunct w:val="0"/>
        <w:bidi w:val="0"/>
        <w:snapToGrid/>
        <w:spacing w:line="360" w:lineRule="auto"/>
        <w:ind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谈判小组依据本项目谈判文件所约定的评审方法和标准，按照最后报价由低到高的顺序依次推荐成交候选人。最后报价相同的，则由谈判小组采取随机抽取方式确定。</w:t>
      </w:r>
    </w:p>
    <w:p w14:paraId="57B94147">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.确定成交候选供应商和成交供应商</w:t>
      </w:r>
    </w:p>
    <w:p w14:paraId="7B86185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.1谈判小组按照最后报价由低到高的顺序和</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中规定确定成交候选人，并标明排列顺序。按</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rPr>
        <w:t>中规定，由</w:t>
      </w:r>
      <w:r>
        <w:rPr>
          <w:rFonts w:hint="eastAsia" w:ascii="宋体" w:hAnsi="宋体" w:eastAsia="宋体" w:cs="宋体"/>
          <w:color w:val="auto"/>
          <w:sz w:val="24"/>
          <w:szCs w:val="24"/>
          <w:highlight w:val="none"/>
          <w:lang w:val="en-US" w:eastAsia="zh-CN"/>
        </w:rPr>
        <w:t>谈判小组</w:t>
      </w:r>
      <w:r>
        <w:rPr>
          <w:rFonts w:hint="eastAsia" w:ascii="宋体" w:hAnsi="宋体" w:eastAsia="宋体" w:cs="宋体"/>
          <w:color w:val="auto"/>
          <w:sz w:val="24"/>
          <w:szCs w:val="24"/>
          <w:highlight w:val="none"/>
        </w:rPr>
        <w:t>或采购人确定</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w:t>
      </w:r>
    </w:p>
    <w:p w14:paraId="2057AED2">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rPr>
        <w:t>.编写评审报告</w:t>
      </w:r>
    </w:p>
    <w:p w14:paraId="558B7173">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.1评审报告是根据全体</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小组成员签字的原始评审记录和评审结果编写的报告，评审报告由</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小组全体成员签字。对评审结论持有异议的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小组成员可以书面方式阐述其不同意见和理由。</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小组成员拒绝在评审报告上签字且不陈述其不同意见和理由的，视为同意评审结论。</w:t>
      </w:r>
    </w:p>
    <w:p w14:paraId="12C2C548">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24</w:t>
      </w:r>
      <w:r>
        <w:rPr>
          <w:rFonts w:hint="eastAsia" w:ascii="宋体" w:hAnsi="宋体" w:eastAsia="宋体" w:cs="宋体"/>
          <w:b/>
          <w:color w:val="auto"/>
          <w:sz w:val="24"/>
          <w:szCs w:val="24"/>
          <w:highlight w:val="none"/>
        </w:rPr>
        <w:t>.保密要求</w:t>
      </w:r>
    </w:p>
    <w:p w14:paraId="211FFF01">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.1评审将在严格保密的情况下进行。</w:t>
      </w:r>
    </w:p>
    <w:p w14:paraId="3ED3973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.2有关人员应当遵守评审工作纪律，不得泄露评审文件、评审情况和评审中获悉的国家秘密、商业秘密。</w:t>
      </w:r>
    </w:p>
    <w:p w14:paraId="6161385E">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25</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合同授予与</w:t>
      </w:r>
      <w:r>
        <w:rPr>
          <w:rFonts w:hint="eastAsia" w:ascii="宋体" w:hAnsi="宋体" w:eastAsia="宋体" w:cs="宋体"/>
          <w:b/>
          <w:color w:val="auto"/>
          <w:sz w:val="24"/>
          <w:szCs w:val="24"/>
          <w:highlight w:val="none"/>
        </w:rPr>
        <w:t>成交结果公告</w:t>
      </w:r>
    </w:p>
    <w:p w14:paraId="291E5433">
      <w:pPr>
        <w:pStyle w:val="10"/>
        <w:keepNext w:val="0"/>
        <w:keepLines w:val="0"/>
        <w:pageBreakBefore w:val="0"/>
        <w:shd w:val="clear"/>
        <w:kinsoku/>
        <w:wordWrap/>
        <w:overflowPunct/>
        <w:topLinePunct w:val="0"/>
        <w:bidi w:val="0"/>
        <w:snapToGrid/>
        <w:spacing w:after="0" w:line="360" w:lineRule="auto"/>
        <w:ind w:righ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25.1确定成交供应商</w:t>
      </w:r>
    </w:p>
    <w:p w14:paraId="724B48F8">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25.1.1 按照供应商须知前附表规定，采购人或采购人委托的评审委员在评审报告确定的成交候选人名单中按顺序确定成交供应商。成交候选人并列的，由采购人或者采购人委托谈判小组按照竞争性谈判文件规定的方式确定成交供应商；竞争性谈判文件未规定的，采取随机抽取的方式确定。</w:t>
      </w:r>
    </w:p>
    <w:p w14:paraId="1E6FF9A1">
      <w:pPr>
        <w:pStyle w:val="10"/>
        <w:keepNext w:val="0"/>
        <w:keepLines w:val="0"/>
        <w:pageBreakBefore w:val="0"/>
        <w:shd w:val="clear"/>
        <w:kinsoku/>
        <w:wordWrap/>
        <w:overflowPunct/>
        <w:topLinePunct w:val="0"/>
        <w:bidi w:val="0"/>
        <w:snapToGrid/>
        <w:spacing w:after="0" w:line="360" w:lineRule="auto"/>
        <w:ind w:righ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25.2成交结果公告</w:t>
      </w:r>
    </w:p>
    <w:p w14:paraId="32F20A2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1为体现“公开、公平、公正”的原则，</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结束后，采购代理机构将在原公告发布媒体上发布成交结果公告。</w:t>
      </w:r>
    </w:p>
    <w:p w14:paraId="7577C477">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成交结果公告内容应当包括采购人及其委托的采购代理机构的名称、地址、联系方式，项目名称和项目编号，成交供应商名称、地址和成交金额，主要成交标的的名称、</w:t>
      </w:r>
      <w:r>
        <w:rPr>
          <w:rFonts w:hint="eastAsia" w:ascii="宋体" w:hAnsi="宋体" w:eastAsia="宋体" w:cs="宋体"/>
          <w:color w:val="auto"/>
          <w:sz w:val="24"/>
          <w:szCs w:val="24"/>
          <w:highlight w:val="none"/>
          <w:lang w:val="en-US" w:eastAsia="zh-CN"/>
        </w:rPr>
        <w:t>服务范围、服务要求、服务时间、服务标准</w:t>
      </w:r>
      <w:r>
        <w:rPr>
          <w:rFonts w:hint="eastAsia" w:ascii="宋体" w:hAnsi="宋体" w:eastAsia="宋体" w:cs="宋体"/>
          <w:color w:val="auto"/>
          <w:sz w:val="24"/>
          <w:szCs w:val="24"/>
          <w:highlight w:val="none"/>
        </w:rPr>
        <w:t>，成交结果公告期限、评审专家名单以及</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中约定进行公告的内容。</w:t>
      </w:r>
    </w:p>
    <w:p w14:paraId="3AE47792">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26</w:t>
      </w:r>
      <w:r>
        <w:rPr>
          <w:rFonts w:hint="eastAsia" w:ascii="宋体" w:hAnsi="宋体" w:eastAsia="宋体" w:cs="宋体"/>
          <w:b/>
          <w:color w:val="auto"/>
          <w:sz w:val="24"/>
          <w:szCs w:val="24"/>
          <w:highlight w:val="none"/>
        </w:rPr>
        <w:t>.成交通知书</w:t>
      </w:r>
    </w:p>
    <w:p w14:paraId="227710DC">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.1采购代理机构发布成交结果公告的同时以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规定的形式向成交供应商发出成交通知书。</w:t>
      </w:r>
    </w:p>
    <w:p w14:paraId="3494555B">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.2成交通知书对采购人和成交供应商具有同等法律效力。成交通知书发出以后，采购人改变成交结果或者成交供应商放弃成交资格，应当承担相应的法律责任。</w:t>
      </w:r>
    </w:p>
    <w:p w14:paraId="5C2C4A4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.3成交通知书是合同的组成部分。</w:t>
      </w:r>
    </w:p>
    <w:p w14:paraId="4BB38270">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27</w:t>
      </w:r>
      <w:r>
        <w:rPr>
          <w:rFonts w:hint="eastAsia" w:ascii="宋体" w:hAnsi="宋体" w:eastAsia="宋体" w:cs="宋体"/>
          <w:b/>
          <w:color w:val="auto"/>
          <w:sz w:val="24"/>
          <w:szCs w:val="24"/>
          <w:highlight w:val="none"/>
        </w:rPr>
        <w:t>.告知</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结果</w:t>
      </w:r>
    </w:p>
    <w:p w14:paraId="000BDAEE">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2DB974B2">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.2采购代理机构对未成交的供应商不做未成交原因的解释。</w:t>
      </w:r>
    </w:p>
    <w:p w14:paraId="6AB7472D">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28</w:t>
      </w:r>
      <w:r>
        <w:rPr>
          <w:rFonts w:hint="eastAsia" w:ascii="宋体" w:hAnsi="宋体" w:eastAsia="宋体" w:cs="宋体"/>
          <w:b/>
          <w:color w:val="auto"/>
          <w:sz w:val="24"/>
          <w:szCs w:val="24"/>
          <w:highlight w:val="none"/>
        </w:rPr>
        <w:t>.履约保证金</w:t>
      </w:r>
    </w:p>
    <w:p w14:paraId="3DE96258">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.1成交供应商应按照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规定缴纳履约保证金。</w:t>
      </w:r>
    </w:p>
    <w:p w14:paraId="2FD1E0A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.2如果成交供应商没有按照上述履约保证金的规定执行，将视为放弃成交资格。在此情况下，采购人可确定下一成交候选供应商为成交供应商，也可以重新开展采购活动。</w:t>
      </w:r>
    </w:p>
    <w:p w14:paraId="6F75F282">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29</w:t>
      </w:r>
      <w:r>
        <w:rPr>
          <w:rFonts w:hint="eastAsia" w:ascii="宋体" w:hAnsi="宋体" w:eastAsia="宋体" w:cs="宋体"/>
          <w:b/>
          <w:color w:val="auto"/>
          <w:sz w:val="24"/>
          <w:szCs w:val="24"/>
          <w:highlight w:val="none"/>
        </w:rPr>
        <w:t>.成交服务费</w:t>
      </w:r>
    </w:p>
    <w:p w14:paraId="09522965">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.1本项目</w:t>
      </w:r>
      <w:r>
        <w:rPr>
          <w:rFonts w:hint="eastAsia" w:ascii="宋体" w:hAnsi="宋体" w:eastAsia="宋体" w:cs="宋体"/>
          <w:color w:val="auto"/>
          <w:sz w:val="24"/>
          <w:szCs w:val="24"/>
          <w:highlight w:val="none"/>
          <w:lang w:val="en-US" w:eastAsia="zh-CN"/>
        </w:rPr>
        <w:t>成交服务费</w:t>
      </w:r>
      <w:r>
        <w:rPr>
          <w:rFonts w:hint="eastAsia" w:ascii="宋体" w:hAnsi="宋体" w:eastAsia="宋体" w:cs="宋体"/>
          <w:color w:val="auto"/>
          <w:sz w:val="24"/>
          <w:szCs w:val="24"/>
          <w:highlight w:val="none"/>
        </w:rPr>
        <w:t>的收取按</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的规定执行。</w:t>
      </w:r>
    </w:p>
    <w:p w14:paraId="7BA014AF">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.签订合同</w:t>
      </w:r>
    </w:p>
    <w:p w14:paraId="22585350">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30.1采购人与成交供应商应当按照供应商须知前附表规定的时间内完成政府采购合同签订及合同公告。所签订的合同不得对竞争性谈判文件确定的事项和成交供应商响应文件作实质性修改。成交供应商无正当理由拒签合同，在签订合同时向采购人提出附加条件的，采购人有权取消其成交资格，给采购人造成的损失的，成交供应商还应当予以赔偿。</w:t>
      </w:r>
    </w:p>
    <w:p w14:paraId="13AF846B">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文件、成交供应商的响应文件及其澄清文件等，均为签订合同的依据。</w:t>
      </w:r>
    </w:p>
    <w:p w14:paraId="7C41C110">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3因成交供应商原因未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731996A8">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30.4发出成交通知书后，采购人无正当理由拒签合同的，按照相关规定予以处理。</w:t>
      </w:r>
    </w:p>
    <w:p w14:paraId="2239F7FB">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30.5 联合体成交的，联合体各方应当共同与采购人签订合同，就成交项目向采购人承担连带责任。</w:t>
      </w:r>
    </w:p>
    <w:p w14:paraId="380FD5E0">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30.6依据《政府采购促进中小企业发展管理办法》（财库〔2020〕46号）规定享受扶持政策获得政府采购合同的，小微企业不得将合同分包给大中型企业，中型企业不得将合同分包给大型企业。</w:t>
      </w:r>
    </w:p>
    <w:p w14:paraId="2BE0193F">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纪律与监督</w:t>
      </w:r>
    </w:p>
    <w:p w14:paraId="07327278">
      <w:pPr>
        <w:pStyle w:val="10"/>
        <w:keepNext w:val="0"/>
        <w:keepLines w:val="0"/>
        <w:pageBreakBefore w:val="0"/>
        <w:shd w:val="clear"/>
        <w:kinsoku/>
        <w:wordWrap/>
        <w:overflowPunct/>
        <w:topLinePunct w:val="0"/>
        <w:bidi w:val="0"/>
        <w:snapToGrid/>
        <w:spacing w:after="0" w:line="360" w:lineRule="auto"/>
        <w:ind w:righ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31.1对采购人的纪律要求</w:t>
      </w:r>
    </w:p>
    <w:p w14:paraId="7DFC80E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31.1.1采购人不得泄漏政府采购活动中应当保密的情况和资料，不得与供应商串通损害国家利益、社会公共利益或者他人合法权益。</w:t>
      </w:r>
    </w:p>
    <w:p w14:paraId="7F449BBD">
      <w:pPr>
        <w:pStyle w:val="10"/>
        <w:keepNext w:val="0"/>
        <w:keepLines w:val="0"/>
        <w:pageBreakBefore w:val="0"/>
        <w:shd w:val="clear"/>
        <w:kinsoku/>
        <w:wordWrap/>
        <w:overflowPunct/>
        <w:topLinePunct w:val="0"/>
        <w:bidi w:val="0"/>
        <w:snapToGrid/>
        <w:spacing w:after="0" w:line="360" w:lineRule="auto"/>
        <w:ind w:right="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31.2对采购代理机构的纪律要求</w:t>
      </w:r>
    </w:p>
    <w:p w14:paraId="3D0E7AA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31.2.1采购代理机构工作人员不得以不正当手段获取政府采购代理业务，不得与采购人、供应商恶意串通。</w:t>
      </w:r>
    </w:p>
    <w:p w14:paraId="04D79CB7">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31.2.2采购代理机构工作人员不得接受采购人或者供应商组织的宴请、旅游、娱乐，不得收受礼品、现金、有价证券等，不得向采购人或者供应商报销应当由个人承担的费用。</w:t>
      </w:r>
    </w:p>
    <w:p w14:paraId="63647836">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31.2.3</w:t>
      </w:r>
      <w:bookmarkStart w:id="154" w:name="_Toc152042355"/>
      <w:r>
        <w:rPr>
          <w:rFonts w:hint="eastAsia" w:ascii="宋体" w:hAnsi="宋体" w:eastAsia="宋体" w:cs="宋体"/>
          <w:color w:val="auto"/>
          <w:sz w:val="24"/>
          <w:szCs w:val="24"/>
          <w:highlight w:val="none"/>
          <w:lang w:val="en-US" w:eastAsia="zh-CN"/>
        </w:rPr>
        <w:t>与评审活动有关的工作人员不得向他人透漏对响应文件的评审和比较、成交候选人的推荐情况以及评审有关的其他情况。在评审活动中，与评审活动有关的工作人员不得擅离职守，影响评审程序正常进行。</w:t>
      </w:r>
      <w:bookmarkEnd w:id="154"/>
    </w:p>
    <w:p w14:paraId="41AF9AEF">
      <w:pPr>
        <w:pStyle w:val="10"/>
        <w:keepNext w:val="0"/>
        <w:keepLines w:val="0"/>
        <w:pageBreakBefore w:val="0"/>
        <w:shd w:val="clear"/>
        <w:kinsoku/>
        <w:wordWrap/>
        <w:overflowPunct/>
        <w:topLinePunct w:val="0"/>
        <w:bidi w:val="0"/>
        <w:snapToGrid/>
        <w:spacing w:after="0" w:line="360" w:lineRule="auto"/>
        <w:ind w:righ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31.3对供应商的纪律要求</w:t>
      </w:r>
    </w:p>
    <w:p w14:paraId="5448BB17">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31.3.1供应商不得相互串通或者与采购人串通，不得向采购人或者谈判小组成员行贿谋取成交，不得以他人名义参加采购活动或者以其他方式弄虚作假骗取成交；供应商不得以任何方式干扰、影响评审工作。</w:t>
      </w:r>
    </w:p>
    <w:p w14:paraId="26EF3062">
      <w:pPr>
        <w:pStyle w:val="10"/>
        <w:keepNext w:val="0"/>
        <w:keepLines w:val="0"/>
        <w:pageBreakBefore w:val="0"/>
        <w:shd w:val="clear"/>
        <w:kinsoku/>
        <w:wordWrap/>
        <w:overflowPunct/>
        <w:topLinePunct w:val="0"/>
        <w:bidi w:val="0"/>
        <w:snapToGrid/>
        <w:spacing w:after="0" w:line="360" w:lineRule="auto"/>
        <w:ind w:righ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31.3对谈判小组成员的纪律要求</w:t>
      </w:r>
    </w:p>
    <w:p w14:paraId="3D94B720">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31.3.1谈判小组成员不得收受他人的财物或者其他好处，不得向他人透漏对响应文件的评审和比较、成交候选人的推荐情况以及评审有关的其他情况。在评审活动中，谈判小组成员不得擅离职守，影响评审程序正常进行，不得使用“评审办法”没有规定的评审因素和标准进行评审。</w:t>
      </w:r>
    </w:p>
    <w:p w14:paraId="3A6019AE">
      <w:pPr>
        <w:keepNext w:val="0"/>
        <w:keepLines w:val="0"/>
        <w:pageBreakBefore w:val="0"/>
        <w:shd w:val="clear"/>
        <w:kinsoku/>
        <w:wordWrap/>
        <w:overflowPunct/>
        <w:topLinePunct w:val="0"/>
        <w:bidi w:val="0"/>
        <w:snapToGrid/>
        <w:spacing w:line="360" w:lineRule="auto"/>
        <w:ind w:right="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32</w:t>
      </w:r>
      <w:r>
        <w:rPr>
          <w:rFonts w:hint="eastAsia" w:ascii="宋体" w:hAnsi="宋体" w:eastAsia="宋体" w:cs="宋体"/>
          <w:b/>
          <w:color w:val="auto"/>
          <w:sz w:val="24"/>
          <w:szCs w:val="24"/>
          <w:highlight w:val="none"/>
        </w:rPr>
        <w:t>.质疑的提出与接收</w:t>
      </w:r>
    </w:p>
    <w:p w14:paraId="6385EE14">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.1供应商认为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文件、采购过程和成交结果使自己的权益受到损害的，可以在知道或者应知其权益受到损害之日起七个工作日内，以书面形式向采购人或其委托的采购代理机构提出质疑。</w:t>
      </w:r>
    </w:p>
    <w:p w14:paraId="29CDE620">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质疑供应商应按照财政部制定的《政府采购质疑函范本》格式（详见</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文件）和《政府采购质疑和投诉办法》的要求，在法定质疑期内以书面形式提出质疑，超出法定质疑期提交的质疑将被拒绝。针对同一采购程序环节的质疑应一次性提出。</w:t>
      </w:r>
    </w:p>
    <w:p w14:paraId="4516732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采购代理机构质疑函接收部门、联系电话和通讯地址，见</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w:t>
      </w:r>
    </w:p>
    <w:p w14:paraId="265F52CF">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注：上述条款中所要求的书面形式递交。</w:t>
      </w:r>
    </w:p>
    <w:p w14:paraId="6808A510">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32.4质疑答复以书面形式通知质疑供应商和其他有关供应商。但答复的内容不得涉及商业秘密。</w:t>
      </w:r>
    </w:p>
    <w:p w14:paraId="4E1B2002">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32.5 采购人、采购代理机构认为供应商质疑不成立，或者成立但未对成交结果构成影响的，继续开展采购活动；认为供应商质疑成立且影响或者可能影响成交结果的，按照下列情况处理：</w:t>
      </w:r>
    </w:p>
    <w:p w14:paraId="6DFD5269">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（1）对竞争性谈判文件提出的质疑，依法通过澄清或者修改可以继续开展采购活动的，澄清或者修改采购文件后继续开展采购活动；否则应当修改竞争性谈判文件后重新开展采购活动。</w:t>
      </w:r>
    </w:p>
    <w:p w14:paraId="2EA0D28A">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（2）对采购过程、成交结果提出的质疑，合格供应商符合法定数量时，可以从合格的成交候选人中另行确定成交供应商的，应当依法另行确定成交供应商；否则应当重新开展采购活动。</w:t>
      </w:r>
    </w:p>
    <w:p w14:paraId="292733D7">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质疑答复导致成交结果改变的，采购人或者采购代理机构应当将有关情况书面报告本级财政部门。</w:t>
      </w:r>
    </w:p>
    <w:p w14:paraId="7EA0A516">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32.6 因处理质疑发生的检验、检测、鉴定等费用，由提出申请的供应商先行垫付。质疑处理决定各方无异议后，按照“谁过错谁负担”的原则由承担责任的一方负担；双方都有责任的，由双方合理分担。</w:t>
      </w:r>
    </w:p>
    <w:p w14:paraId="51676291">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32.7 供应商不得以质疑为名进行虚假、恶意质疑，扰乱政府采购正常的工作秩序。供应商有下列情形之一的，属于虚假、恶意质疑，被质疑人应当驳回质疑，并向同级政府采购监督管理部门报告，将其列入不良行为记录名单，并依法予以处罚：</w:t>
      </w:r>
    </w:p>
    <w:p w14:paraId="694F7A83">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（1）一年内三次以上质疑均查无实据的；</w:t>
      </w:r>
    </w:p>
    <w:p w14:paraId="652D0F17">
      <w:pPr>
        <w:keepNext w:val="0"/>
        <w:keepLines w:val="0"/>
        <w:pageBreakBefore w:val="0"/>
        <w:shd w:val="clear"/>
        <w:kinsoku/>
        <w:wordWrap/>
        <w:overflowPunct/>
        <w:topLinePunct w:val="0"/>
        <w:bidi w:val="0"/>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（2）捏造事实或者提供虚假质疑材料的；</w:t>
      </w:r>
    </w:p>
    <w:p w14:paraId="7D16B61E">
      <w:pPr>
        <w:keepNext w:val="0"/>
        <w:keepLines w:val="0"/>
        <w:pageBreakBefore w:val="0"/>
        <w:shd w:val="clear"/>
        <w:kinsoku/>
        <w:wordWrap/>
        <w:overflowPunct/>
        <w:topLinePunct w:val="0"/>
        <w:bidi w:val="0"/>
        <w:snapToGrid/>
        <w:spacing w:line="360" w:lineRule="auto"/>
        <w:ind w:right="0" w:firstLine="480" w:firstLineChars="200"/>
        <w:textAlignment w:val="auto"/>
        <w:rPr>
          <w:sz w:val="21"/>
          <w:szCs w:val="21"/>
          <w:highlight w:val="none"/>
        </w:rPr>
      </w:pPr>
      <w:r>
        <w:rPr>
          <w:rFonts w:hint="eastAsia" w:ascii="宋体" w:hAnsi="宋体" w:eastAsia="宋体" w:cs="宋体"/>
          <w:color w:val="auto"/>
          <w:sz w:val="24"/>
          <w:szCs w:val="24"/>
          <w:highlight w:val="none"/>
          <w:lang w:val="en-US" w:eastAsia="zh-CN"/>
        </w:rPr>
        <w:t>（3）以非法手段取得证明材料。证明材料来源的合法性存在明显疑问，供应商无法证明其取得方式合法的，视为以非法手段取得证明材料。</w:t>
      </w:r>
    </w:p>
    <w:p w14:paraId="369BA61E">
      <w:pPr>
        <w:pStyle w:val="8"/>
        <w:numPr>
          <w:ilvl w:val="0"/>
          <w:numId w:val="2"/>
        </w:numPr>
        <w:rPr>
          <w:highlight w:val="none"/>
        </w:rPr>
      </w:pPr>
      <w:r>
        <w:rPr>
          <w:highlight w:val="none"/>
        </w:rPr>
        <w:t>需要补充的其他内容</w:t>
      </w:r>
    </w:p>
    <w:p w14:paraId="48E0F492">
      <w:pPr>
        <w:pStyle w:val="10"/>
        <w:spacing w:before="155" w:line="360" w:lineRule="auto"/>
        <w:ind w:left="669"/>
        <w:rPr>
          <w:sz w:val="21"/>
          <w:szCs w:val="21"/>
          <w:highlight w:val="none"/>
        </w:rPr>
      </w:pPr>
      <w:r>
        <w:rPr>
          <w:sz w:val="21"/>
          <w:szCs w:val="21"/>
          <w:highlight w:val="none"/>
        </w:rPr>
        <w:t>需要补充的其他内容，见</w:t>
      </w:r>
      <w:r>
        <w:rPr>
          <w:sz w:val="21"/>
          <w:szCs w:val="21"/>
          <w:highlight w:val="none"/>
          <w:u w:val="single"/>
        </w:rPr>
        <w:t>供应商须知前附表</w:t>
      </w:r>
      <w:r>
        <w:rPr>
          <w:sz w:val="21"/>
          <w:szCs w:val="21"/>
          <w:highlight w:val="none"/>
        </w:rPr>
        <w:t>。</w:t>
      </w:r>
    </w:p>
    <w:p w14:paraId="7D08E8DB">
      <w:pPr>
        <w:pStyle w:val="27"/>
        <w:tabs>
          <w:tab w:val="left" w:pos="1330"/>
        </w:tabs>
        <w:spacing w:before="161" w:line="360" w:lineRule="auto"/>
        <w:ind w:left="1329" w:firstLine="0"/>
        <w:jc w:val="both"/>
        <w:rPr>
          <w:sz w:val="21"/>
          <w:szCs w:val="21"/>
          <w:highlight w:val="none"/>
        </w:rPr>
      </w:pPr>
    </w:p>
    <w:p w14:paraId="26DC1C7B">
      <w:pPr>
        <w:spacing w:line="360" w:lineRule="auto"/>
        <w:rPr>
          <w:rFonts w:ascii="宋体" w:hAnsi="宋体"/>
          <w:highlight w:val="none"/>
        </w:rPr>
      </w:pPr>
    </w:p>
    <w:p w14:paraId="5EC4ECBF">
      <w:pPr>
        <w:widowControl/>
        <w:spacing w:line="360" w:lineRule="auto"/>
        <w:jc w:val="left"/>
        <w:rPr>
          <w:rFonts w:ascii="宋体" w:hAnsi="宋体"/>
          <w:highlight w:val="none"/>
        </w:rPr>
      </w:pPr>
      <w:r>
        <w:rPr>
          <w:rFonts w:ascii="宋体" w:hAnsi="宋体"/>
          <w:highlight w:val="none"/>
        </w:rPr>
        <w:br w:type="page"/>
      </w:r>
    </w:p>
    <w:p w14:paraId="517E51DD">
      <w:pPr>
        <w:pStyle w:val="5"/>
        <w:numPr>
          <w:ilvl w:val="0"/>
          <w:numId w:val="0"/>
        </w:numPr>
        <w:tabs>
          <w:tab w:val="left" w:pos="0"/>
        </w:tabs>
        <w:autoSpaceDE w:val="0"/>
        <w:autoSpaceDN w:val="0"/>
        <w:adjustRightInd w:val="0"/>
        <w:spacing w:before="0" w:after="0" w:line="360" w:lineRule="auto"/>
        <w:jc w:val="center"/>
        <w:rPr>
          <w:rFonts w:hint="eastAsia" w:ascii="宋体" w:hAnsi="宋体"/>
          <w:sz w:val="32"/>
          <w:szCs w:val="32"/>
          <w:highlight w:val="none"/>
        </w:rPr>
      </w:pPr>
      <w:r>
        <w:rPr>
          <w:rFonts w:hint="eastAsia" w:ascii="宋体" w:hAnsi="宋体" w:eastAsia="宋体" w:cs="Times New Roman"/>
          <w:b/>
          <w:bCs/>
          <w:kern w:val="44"/>
          <w:sz w:val="32"/>
          <w:szCs w:val="32"/>
          <w:lang w:val="en-US" w:eastAsia="zh-CN" w:bidi="ar-SA"/>
        </w:rPr>
        <w:t>第三章</w:t>
      </w:r>
      <w:r>
        <w:rPr>
          <w:rFonts w:hint="eastAsia" w:ascii="宋体" w:hAnsi="宋体"/>
          <w:sz w:val="32"/>
          <w:szCs w:val="32"/>
          <w:highlight w:val="none"/>
        </w:rPr>
        <w:tab/>
      </w:r>
      <w:bookmarkStart w:id="155" w:name="_Toc14598"/>
      <w:r>
        <w:rPr>
          <w:rFonts w:hint="eastAsia" w:ascii="宋体" w:hAnsi="宋体"/>
          <w:sz w:val="32"/>
          <w:szCs w:val="32"/>
          <w:highlight w:val="none"/>
        </w:rPr>
        <w:t>采购需求</w:t>
      </w:r>
      <w:bookmarkEnd w:id="155"/>
    </w:p>
    <w:p w14:paraId="1F53B03F">
      <w:pPr>
        <w:pStyle w:val="8"/>
        <w:rPr>
          <w:highlight w:val="none"/>
        </w:rPr>
      </w:pPr>
      <w:r>
        <w:rPr>
          <w:highlight w:val="none"/>
        </w:rPr>
        <w:t>前注：</w:t>
      </w:r>
    </w:p>
    <w:p w14:paraId="204DAE61">
      <w:pPr>
        <w:pStyle w:val="10"/>
        <w:spacing w:before="160" w:line="360" w:lineRule="auto"/>
        <w:ind w:left="234" w:right="249" w:firstLine="436"/>
        <w:rPr>
          <w:highlight w:val="none"/>
        </w:rPr>
      </w:pPr>
      <w:r>
        <w:rPr>
          <w:sz w:val="21"/>
          <w:szCs w:val="21"/>
          <w:highlight w:val="none"/>
        </w:rPr>
        <w:t>本说明中提出的技术方案仅为参考，如无明确限制，供应商可以进行优化，提供满足用户实际需要的更优（或者性能实质上不低于的）服务方案，且此方案须经</w:t>
      </w:r>
      <w:r>
        <w:rPr>
          <w:rFonts w:hint="eastAsia"/>
          <w:sz w:val="21"/>
          <w:szCs w:val="21"/>
          <w:highlight w:val="none"/>
          <w:lang w:eastAsia="zh-CN"/>
        </w:rPr>
        <w:t>谈判</w:t>
      </w:r>
      <w:r>
        <w:rPr>
          <w:sz w:val="21"/>
          <w:szCs w:val="21"/>
          <w:highlight w:val="none"/>
        </w:rPr>
        <w:t>小组评审认可</w:t>
      </w:r>
      <w:r>
        <w:rPr>
          <w:highlight w:val="none"/>
        </w:rPr>
        <w:t>。</w:t>
      </w:r>
    </w:p>
    <w:p w14:paraId="43B70668">
      <w:pPr>
        <w:pStyle w:val="8"/>
        <w:rPr>
          <w:rFonts w:hint="eastAsia"/>
          <w:sz w:val="24"/>
          <w:szCs w:val="24"/>
          <w:highlight w:val="none"/>
        </w:rPr>
      </w:pPr>
      <w:r>
        <w:rPr>
          <w:sz w:val="24"/>
          <w:szCs w:val="24"/>
          <w:highlight w:val="none"/>
        </w:rPr>
        <w:t>一、采购需求前附表</w:t>
      </w:r>
    </w:p>
    <w:tbl>
      <w:tblPr>
        <w:tblStyle w:val="17"/>
        <w:tblW w:w="8497"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75CED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7A053E3D">
            <w:pPr>
              <w:pStyle w:val="25"/>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14:paraId="098324C5">
            <w:pPr>
              <w:pStyle w:val="25"/>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14:paraId="589C98F8">
            <w:pPr>
              <w:pStyle w:val="25"/>
              <w:spacing w:before="19" w:line="360" w:lineRule="auto"/>
              <w:ind w:left="1769"/>
              <w:rPr>
                <w:b/>
                <w:sz w:val="21"/>
                <w:szCs w:val="21"/>
                <w:highlight w:val="none"/>
                <w:lang w:eastAsia="en-US"/>
              </w:rPr>
            </w:pPr>
            <w:r>
              <w:rPr>
                <w:b/>
                <w:sz w:val="21"/>
                <w:szCs w:val="21"/>
                <w:highlight w:val="none"/>
                <w:lang w:eastAsia="en-US"/>
              </w:rPr>
              <w:t>内容、说明与要求</w:t>
            </w:r>
          </w:p>
        </w:tc>
      </w:tr>
      <w:tr w14:paraId="7B3E0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0D3A92C5">
            <w:pPr>
              <w:pStyle w:val="25"/>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14:paraId="2DAE98F2">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1DEBE39F">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default" w:cs="宋体"/>
                <w:kern w:val="0"/>
                <w:sz w:val="21"/>
                <w:szCs w:val="21"/>
                <w:highlight w:val="none"/>
                <w:lang w:val="en-US" w:eastAsia="zh-CN" w:bidi="zh-CN"/>
              </w:rPr>
            </w:pPr>
            <w:r>
              <w:rPr>
                <w:rFonts w:hint="eastAsia" w:cs="宋体"/>
                <w:kern w:val="0"/>
                <w:sz w:val="21"/>
                <w:szCs w:val="21"/>
                <w:highlight w:val="none"/>
                <w:lang w:val="en-US" w:eastAsia="zh-CN" w:bidi="zh-CN"/>
              </w:rPr>
              <w:t>项目进度完成至总进度的30%，支付至合同金额的20%，项目进度完成至总进度的60%，支付至合同金额的50%，项目进度完成至总进度的90%，支付至合同金额的80%，所有检测工作完成（包括但不限于室外附属工程、装饰装修工程等）工程竣工验收备案移交后支付至合同价款的 100%。</w:t>
            </w:r>
          </w:p>
        </w:tc>
      </w:tr>
      <w:tr w14:paraId="6DFB8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633D0A0C">
            <w:pPr>
              <w:pStyle w:val="25"/>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14:paraId="710A0CB1">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6F4FFA80">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default"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界首市</w:t>
            </w:r>
          </w:p>
        </w:tc>
      </w:tr>
      <w:tr w14:paraId="5758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424F2651">
            <w:pPr>
              <w:pStyle w:val="25"/>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14:paraId="359C70A6">
            <w:pPr>
              <w:pStyle w:val="25"/>
              <w:spacing w:before="19" w:line="360" w:lineRule="auto"/>
              <w:ind w:right="501"/>
              <w:jc w:val="center"/>
              <w:rPr>
                <w:rFonts w:hint="eastAsia" w:cs="宋体"/>
                <w:kern w:val="0"/>
                <w:sz w:val="21"/>
                <w:szCs w:val="21"/>
                <w:highlight w:val="none"/>
                <w:lang w:val="zh-CN" w:eastAsia="en-US" w:bidi="zh-CN"/>
              </w:rPr>
            </w:pPr>
            <w:r>
              <w:rPr>
                <w:rFonts w:hint="eastAsia" w:cs="宋体"/>
                <w:kern w:val="0"/>
                <w:sz w:val="21"/>
                <w:szCs w:val="21"/>
                <w:highlight w:val="none"/>
                <w:lang w:val="en-US" w:eastAsia="en-US" w:bidi="zh-CN"/>
              </w:rPr>
              <w:t xml:space="preserve">    </w:t>
            </w:r>
            <w:r>
              <w:rPr>
                <w:rFonts w:hint="eastAsia" w:cs="宋体"/>
                <w:kern w:val="0"/>
                <w:sz w:val="21"/>
                <w:szCs w:val="21"/>
                <w:highlight w:val="none"/>
                <w:lang w:val="zh-CN" w:eastAsia="en-US" w:bidi="zh-CN"/>
              </w:rPr>
              <w:t>服务期限</w:t>
            </w:r>
          </w:p>
        </w:tc>
        <w:tc>
          <w:tcPr>
            <w:tcW w:w="5468" w:type="dxa"/>
            <w:shd w:val="clear" w:color="auto" w:fill="auto"/>
            <w:vAlign w:val="center"/>
          </w:tcPr>
          <w:p w14:paraId="6DD37E9F">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default" w:cs="宋体"/>
                <w:kern w:val="0"/>
                <w:sz w:val="21"/>
                <w:szCs w:val="21"/>
                <w:highlight w:val="none"/>
                <w:lang w:val="en-US" w:eastAsia="en-US" w:bidi="zh-CN"/>
              </w:rPr>
            </w:pPr>
            <w:r>
              <w:rPr>
                <w:rFonts w:hint="eastAsia" w:cs="宋体"/>
                <w:kern w:val="0"/>
                <w:sz w:val="21"/>
                <w:szCs w:val="21"/>
                <w:highlight w:val="none"/>
                <w:lang w:val="en-US" w:eastAsia="en-US" w:bidi="zh-CN"/>
              </w:rPr>
              <w:t>自合同签订之日起至项目竣工验收备案移交止。</w:t>
            </w:r>
          </w:p>
        </w:tc>
      </w:tr>
    </w:tbl>
    <w:p w14:paraId="7712883D">
      <w:pPr>
        <w:pStyle w:val="8"/>
        <w:numPr>
          <w:ilvl w:val="0"/>
          <w:numId w:val="0"/>
        </w:numPr>
        <w:ind w:left="1366" w:leftChars="0" w:right="1503" w:rightChars="0"/>
        <w:rPr>
          <w:rFonts w:hint="eastAsia" w:cs="Times New Roman"/>
          <w:sz w:val="24"/>
          <w:szCs w:val="24"/>
          <w:highlight w:val="none"/>
          <w:lang w:val="en-US" w:eastAsia="zh-CN"/>
        </w:rPr>
      </w:pPr>
      <w:r>
        <w:rPr>
          <w:rFonts w:hint="eastAsia" w:ascii="Cambria" w:hAnsi="Cambria" w:eastAsia="宋体" w:cs="Times New Roman"/>
          <w:b/>
          <w:bCs/>
          <w:kern w:val="2"/>
          <w:sz w:val="24"/>
          <w:szCs w:val="24"/>
          <w:lang w:val="en-US" w:eastAsia="zh-CN" w:bidi="ar-SA"/>
        </w:rPr>
        <w:t>二、</w:t>
      </w:r>
      <w:r>
        <w:rPr>
          <w:rFonts w:hint="eastAsia" w:cs="Times New Roman"/>
          <w:sz w:val="24"/>
          <w:szCs w:val="24"/>
          <w:highlight w:val="none"/>
          <w:lang w:val="en-US" w:eastAsia="zh-CN"/>
        </w:rPr>
        <w:t>项目概况</w:t>
      </w:r>
    </w:p>
    <w:p w14:paraId="75A45352">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firstLine="420" w:firstLineChars="200"/>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安徽融城高新技术产业发展集团有限公司界首市军用特种服饰生产和研发军民融合示范园项目（一期）总建设用地面积约90.42亩，其中新建标准化厂房约79582.56㎡、新建配电房约132㎡、新建办公综合楼约7638.2㎡、新建地下设备用房面积约417.96 ㎡、室外配套工程等，具体详见图纸及工程量清单。</w:t>
      </w:r>
    </w:p>
    <w:p w14:paraId="04FE43BE">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firstLine="420" w:firstLineChars="200"/>
        <w:jc w:val="left"/>
        <w:textAlignment w:val="auto"/>
        <w:rPr>
          <w:rFonts w:hint="eastAsia" w:cs="宋体"/>
          <w:kern w:val="0"/>
          <w:sz w:val="21"/>
          <w:szCs w:val="21"/>
          <w:highlight w:val="none"/>
          <w:lang w:val="en-US" w:eastAsia="zh-CN" w:bidi="zh-CN"/>
        </w:rPr>
      </w:pPr>
    </w:p>
    <w:p w14:paraId="221A610E">
      <w:pPr>
        <w:pStyle w:val="8"/>
        <w:numPr>
          <w:ilvl w:val="0"/>
          <w:numId w:val="0"/>
        </w:numPr>
        <w:ind w:left="1366" w:leftChars="0" w:right="1503" w:rightChars="0"/>
        <w:rPr>
          <w:rFonts w:hint="eastAsia" w:cs="Times New Roman"/>
          <w:sz w:val="24"/>
          <w:szCs w:val="24"/>
          <w:highlight w:val="none"/>
          <w:lang w:val="en-US" w:eastAsia="zh-CN"/>
        </w:rPr>
      </w:pPr>
      <w:r>
        <w:rPr>
          <w:rFonts w:hint="eastAsia" w:ascii="Cambria" w:hAnsi="Cambria" w:eastAsia="宋体" w:cs="Times New Roman"/>
          <w:b/>
          <w:bCs/>
          <w:kern w:val="2"/>
          <w:sz w:val="24"/>
          <w:szCs w:val="24"/>
          <w:lang w:val="en-US" w:eastAsia="zh-CN" w:bidi="ar-SA"/>
        </w:rPr>
        <w:t>三、</w:t>
      </w:r>
      <w:r>
        <w:rPr>
          <w:rFonts w:hint="eastAsia" w:cs="Times New Roman"/>
          <w:sz w:val="24"/>
          <w:szCs w:val="24"/>
          <w:highlight w:val="none"/>
          <w:lang w:val="en-US" w:eastAsia="zh-CN"/>
        </w:rPr>
        <w:t>采购需求</w:t>
      </w:r>
    </w:p>
    <w:p w14:paraId="40C3B982">
      <w:pPr>
        <w:numPr>
          <w:ilvl w:val="0"/>
          <w:numId w:val="0"/>
        </w:numPr>
        <w:rPr>
          <w:rFonts w:hint="eastAsia"/>
        </w:rPr>
      </w:pPr>
    </w:p>
    <w:p w14:paraId="7DC96C2D">
      <w:pPr>
        <w:numPr>
          <w:ilvl w:val="0"/>
          <w:numId w:val="3"/>
        </w:numPr>
        <w:spacing w:line="360" w:lineRule="auto"/>
        <w:ind w:firstLine="420" w:firstLineChars="200"/>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检测内容包括但不限于项目范围内的所有专项检测、见证取样检测等。包括但不限于地基与基础工程、主体结构工程（建筑、结构）、人防工程、内外装饰工程（室内环境检测、铝合金窗及百叶、建筑幕墙工程、屋面工程等）、电气工程、给排水工程、消防工程、通风与空调、智能化、亮化、室外工程（园林景观、道路、综合管网、消防、智能化、电力排管、排水检测、水质检测等）、建筑节能等所有工程至全部工程验收合格、竣工验收备案为止的所有检测。项目的检测内容、数量及频率按照国家相关规范的规定取定，如有建设主管部门相关特殊要求按规定执行。具体检测业务以委托人任务书为准。对于合同清单内未列明但国家规范强制要求必须检测的项目，视为已包含在合同总价中，乙方不得另行收费。</w:t>
      </w:r>
    </w:p>
    <w:p w14:paraId="49A9975C">
      <w:pPr>
        <w:pStyle w:val="10"/>
        <w:numPr>
          <w:ilvl w:val="0"/>
          <w:numId w:val="0"/>
        </w:numPr>
        <w:rPr>
          <w:rFonts w:hint="eastAsia"/>
          <w:lang w:val="en-US" w:eastAsia="zh-CN"/>
        </w:rPr>
      </w:pPr>
    </w:p>
    <w:p w14:paraId="515CC905">
      <w:pPr>
        <w:keepNext w:val="0"/>
        <w:keepLines w:val="0"/>
        <w:widowControl/>
        <w:suppressLineNumbers w:val="0"/>
        <w:jc w:val="left"/>
      </w:pPr>
      <w:r>
        <w:rPr>
          <w:rFonts w:hint="eastAsia"/>
          <w:sz w:val="21"/>
          <w:szCs w:val="21"/>
          <w:highlight w:val="none"/>
          <w:lang w:val="en-US" w:eastAsia="zh-CN"/>
        </w:rPr>
        <w:t>2、</w:t>
      </w:r>
      <w:r>
        <w:rPr>
          <w:rFonts w:hint="eastAsia" w:ascii="宋体" w:hAnsi="宋体" w:eastAsia="宋体" w:cs="宋体"/>
          <w:color w:val="000000"/>
          <w:kern w:val="0"/>
          <w:sz w:val="21"/>
          <w:szCs w:val="21"/>
          <w:lang w:val="en-US" w:eastAsia="zh-CN" w:bidi="ar"/>
        </w:rPr>
        <w:t>项目班子成员最低要求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6"/>
        <w:gridCol w:w="1267"/>
        <w:gridCol w:w="5773"/>
      </w:tblGrid>
      <w:tr w14:paraId="2D77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vAlign w:val="center"/>
          </w:tcPr>
          <w:p w14:paraId="7520C12F">
            <w:pPr>
              <w:keepNext w:val="0"/>
              <w:keepLines w:val="0"/>
              <w:widowControl/>
              <w:suppressLineNumbers w:val="0"/>
              <w:jc w:val="center"/>
              <w:rPr>
                <w:rFonts w:hint="default"/>
                <w:vertAlign w:val="baseline"/>
                <w:lang w:val="en-US"/>
              </w:rPr>
            </w:pPr>
            <w:r>
              <w:rPr>
                <w:rFonts w:hint="eastAsia" w:ascii="宋体" w:hAnsi="宋体" w:eastAsia="宋体" w:cs="宋体"/>
                <w:color w:val="000000"/>
                <w:kern w:val="0"/>
                <w:sz w:val="21"/>
                <w:szCs w:val="21"/>
                <w:lang w:val="en-US" w:eastAsia="zh-CN" w:bidi="ar"/>
              </w:rPr>
              <w:t>人员</w:t>
            </w:r>
          </w:p>
        </w:tc>
        <w:tc>
          <w:tcPr>
            <w:tcW w:w="1267" w:type="dxa"/>
            <w:vAlign w:val="center"/>
          </w:tcPr>
          <w:p w14:paraId="5D8BB4D2">
            <w:pPr>
              <w:pStyle w:val="10"/>
              <w:jc w:val="center"/>
              <w:rPr>
                <w:rFonts w:hint="eastAsia" w:eastAsia="宋体"/>
                <w:vertAlign w:val="baseline"/>
                <w:lang w:val="en-US" w:eastAsia="zh-CN"/>
              </w:rPr>
            </w:pPr>
            <w:r>
              <w:rPr>
                <w:rFonts w:hint="eastAsia"/>
                <w:vertAlign w:val="baseline"/>
                <w:lang w:val="en-US" w:eastAsia="zh-CN"/>
              </w:rPr>
              <w:t>数量</w:t>
            </w:r>
          </w:p>
        </w:tc>
        <w:tc>
          <w:tcPr>
            <w:tcW w:w="5773" w:type="dxa"/>
            <w:vAlign w:val="center"/>
          </w:tcPr>
          <w:p w14:paraId="088B2829">
            <w:pPr>
              <w:pStyle w:val="10"/>
              <w:jc w:val="center"/>
              <w:rPr>
                <w:rFonts w:hint="default" w:eastAsia="宋体"/>
                <w:vertAlign w:val="baseline"/>
                <w:lang w:val="en-US" w:eastAsia="zh-CN"/>
              </w:rPr>
            </w:pPr>
            <w:r>
              <w:rPr>
                <w:rFonts w:hint="eastAsia"/>
                <w:vertAlign w:val="baseline"/>
                <w:lang w:val="en-US" w:eastAsia="zh-CN"/>
              </w:rPr>
              <w:t>资格要求</w:t>
            </w:r>
          </w:p>
        </w:tc>
      </w:tr>
      <w:tr w14:paraId="4924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vAlign w:val="center"/>
          </w:tcPr>
          <w:p w14:paraId="3C3EC1DD">
            <w:pPr>
              <w:keepNext w:val="0"/>
              <w:keepLines w:val="0"/>
              <w:widowControl/>
              <w:suppressLineNumbers w:val="0"/>
              <w:jc w:val="center"/>
              <w:rPr>
                <w:rFonts w:hint="default"/>
                <w:vertAlign w:val="baseline"/>
                <w:lang w:val="en-US"/>
              </w:rPr>
            </w:pPr>
            <w:r>
              <w:rPr>
                <w:rFonts w:hint="eastAsia" w:ascii="宋体" w:hAnsi="宋体" w:eastAsia="宋体" w:cs="宋体"/>
                <w:color w:val="000000"/>
                <w:kern w:val="0"/>
                <w:sz w:val="21"/>
                <w:szCs w:val="21"/>
                <w:lang w:val="en-US" w:eastAsia="zh-CN" w:bidi="ar"/>
              </w:rPr>
              <w:t>项目负责人</w:t>
            </w:r>
          </w:p>
        </w:tc>
        <w:tc>
          <w:tcPr>
            <w:tcW w:w="1267" w:type="dxa"/>
            <w:vAlign w:val="center"/>
          </w:tcPr>
          <w:p w14:paraId="11E9C0E1">
            <w:pPr>
              <w:pStyle w:val="10"/>
              <w:jc w:val="center"/>
              <w:rPr>
                <w:rFonts w:hint="eastAsia" w:eastAsia="宋体"/>
                <w:vertAlign w:val="baseline"/>
                <w:lang w:val="en-US" w:eastAsia="zh-CN"/>
              </w:rPr>
            </w:pPr>
            <w:r>
              <w:rPr>
                <w:rFonts w:hint="eastAsia"/>
                <w:vertAlign w:val="baseline"/>
                <w:lang w:val="en-US" w:eastAsia="zh-CN"/>
              </w:rPr>
              <w:t>1</w:t>
            </w:r>
          </w:p>
        </w:tc>
        <w:tc>
          <w:tcPr>
            <w:tcW w:w="5773" w:type="dxa"/>
            <w:vAlign w:val="center"/>
          </w:tcPr>
          <w:p w14:paraId="1A5A857E">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具有建筑工程类专业高级工程师及以上职称，具有有效的建</w:t>
            </w:r>
          </w:p>
          <w:p w14:paraId="2D58ACF8">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设工程检测人员岗位证书或试验检测师（或试验检测工程</w:t>
            </w:r>
          </w:p>
          <w:p w14:paraId="2EE41D7A">
            <w:pPr>
              <w:keepNext w:val="0"/>
              <w:keepLines w:val="0"/>
              <w:widowControl/>
              <w:suppressLineNumbers w:val="0"/>
              <w:jc w:val="left"/>
              <w:rPr>
                <w:rFonts w:hint="default"/>
                <w:vertAlign w:val="baseline"/>
                <w:lang w:val="en-US"/>
              </w:rPr>
            </w:pPr>
            <w:r>
              <w:rPr>
                <w:rFonts w:hint="eastAsia" w:ascii="宋体" w:hAnsi="宋体" w:eastAsia="宋体" w:cs="宋体"/>
                <w:color w:val="000000"/>
                <w:kern w:val="0"/>
                <w:sz w:val="21"/>
                <w:szCs w:val="21"/>
                <w:lang w:val="en-US" w:eastAsia="zh-CN" w:bidi="ar"/>
              </w:rPr>
              <w:t>师）</w:t>
            </w:r>
            <w:r>
              <w:rPr>
                <w:rFonts w:hint="eastAsia" w:ascii="宋体" w:hAnsi="宋体" w:eastAsia="宋体" w:cs="宋体"/>
                <w:color w:val="000000"/>
                <w:kern w:val="0"/>
                <w:sz w:val="24"/>
                <w:szCs w:val="24"/>
                <w:lang w:val="en-US" w:eastAsia="zh-CN" w:bidi="ar"/>
              </w:rPr>
              <w:t>证书。</w:t>
            </w:r>
          </w:p>
        </w:tc>
      </w:tr>
      <w:tr w14:paraId="680E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vAlign w:val="center"/>
          </w:tcPr>
          <w:p w14:paraId="63413950">
            <w:pPr>
              <w:keepNext w:val="0"/>
              <w:keepLines w:val="0"/>
              <w:widowControl/>
              <w:suppressLineNumbers w:val="0"/>
              <w:jc w:val="center"/>
              <w:rPr>
                <w:rFonts w:hint="default"/>
                <w:vertAlign w:val="baseline"/>
                <w:lang w:val="en-US"/>
              </w:rPr>
            </w:pPr>
            <w:r>
              <w:rPr>
                <w:rFonts w:hint="eastAsia" w:ascii="宋体" w:hAnsi="宋体" w:eastAsia="宋体" w:cs="宋体"/>
                <w:color w:val="000000"/>
                <w:kern w:val="0"/>
                <w:sz w:val="21"/>
                <w:szCs w:val="21"/>
                <w:lang w:val="en-US" w:eastAsia="zh-CN" w:bidi="ar"/>
              </w:rPr>
              <w:t>试验检测师</w:t>
            </w:r>
          </w:p>
        </w:tc>
        <w:tc>
          <w:tcPr>
            <w:tcW w:w="1267" w:type="dxa"/>
            <w:vAlign w:val="center"/>
          </w:tcPr>
          <w:p w14:paraId="769C78A4">
            <w:pPr>
              <w:pStyle w:val="10"/>
              <w:jc w:val="center"/>
              <w:rPr>
                <w:rFonts w:hint="default" w:eastAsia="宋体"/>
                <w:vertAlign w:val="baseline"/>
                <w:lang w:val="en-US" w:eastAsia="zh-CN"/>
              </w:rPr>
            </w:pPr>
            <w:r>
              <w:rPr>
                <w:rFonts w:hint="eastAsia"/>
                <w:vertAlign w:val="baseline"/>
                <w:lang w:val="en-US" w:eastAsia="zh-CN"/>
              </w:rPr>
              <w:t>2</w:t>
            </w:r>
          </w:p>
        </w:tc>
        <w:tc>
          <w:tcPr>
            <w:tcW w:w="5773" w:type="dxa"/>
            <w:vAlign w:val="center"/>
          </w:tcPr>
          <w:p w14:paraId="492A8CE6">
            <w:pPr>
              <w:keepNext w:val="0"/>
              <w:keepLines w:val="0"/>
              <w:widowControl/>
              <w:suppressLineNumbers w:val="0"/>
              <w:jc w:val="center"/>
              <w:rPr>
                <w:rFonts w:hint="default"/>
                <w:vertAlign w:val="baseline"/>
                <w:lang w:val="en-US"/>
              </w:rPr>
            </w:pPr>
            <w:r>
              <w:rPr>
                <w:rFonts w:hint="eastAsia" w:ascii="宋体" w:hAnsi="宋体" w:eastAsia="宋体" w:cs="宋体"/>
                <w:color w:val="000000"/>
                <w:kern w:val="0"/>
                <w:sz w:val="21"/>
                <w:szCs w:val="21"/>
                <w:lang w:val="en-US" w:eastAsia="zh-CN" w:bidi="ar"/>
              </w:rPr>
              <w:t>具有建筑工程类专业中级工程师及以上职称证书。</w:t>
            </w:r>
          </w:p>
        </w:tc>
      </w:tr>
      <w:tr w14:paraId="622E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vAlign w:val="center"/>
          </w:tcPr>
          <w:p w14:paraId="279958D9">
            <w:pPr>
              <w:keepNext w:val="0"/>
              <w:keepLines w:val="0"/>
              <w:widowControl/>
              <w:suppressLineNumbers w:val="0"/>
              <w:jc w:val="center"/>
              <w:rPr>
                <w:rFonts w:hint="default"/>
                <w:vertAlign w:val="baseline"/>
                <w:lang w:val="en-US"/>
              </w:rPr>
            </w:pPr>
            <w:r>
              <w:rPr>
                <w:rFonts w:hint="eastAsia" w:ascii="宋体" w:hAnsi="宋体" w:eastAsia="宋体" w:cs="宋体"/>
                <w:color w:val="000000"/>
                <w:kern w:val="0"/>
                <w:sz w:val="21"/>
                <w:szCs w:val="21"/>
                <w:lang w:val="en-US" w:eastAsia="zh-CN" w:bidi="ar"/>
              </w:rPr>
              <w:t>助理试验检测师</w:t>
            </w:r>
          </w:p>
        </w:tc>
        <w:tc>
          <w:tcPr>
            <w:tcW w:w="1267" w:type="dxa"/>
            <w:vAlign w:val="center"/>
          </w:tcPr>
          <w:p w14:paraId="49A4B223">
            <w:pPr>
              <w:pStyle w:val="10"/>
              <w:jc w:val="center"/>
              <w:rPr>
                <w:rFonts w:hint="eastAsia" w:eastAsia="宋体"/>
                <w:vertAlign w:val="baseline"/>
                <w:lang w:val="en-US" w:eastAsia="zh-CN"/>
              </w:rPr>
            </w:pPr>
            <w:r>
              <w:rPr>
                <w:rFonts w:hint="eastAsia"/>
                <w:vertAlign w:val="baseline"/>
                <w:lang w:val="en-US" w:eastAsia="zh-CN"/>
              </w:rPr>
              <w:t>3</w:t>
            </w:r>
          </w:p>
        </w:tc>
        <w:tc>
          <w:tcPr>
            <w:tcW w:w="5773" w:type="dxa"/>
            <w:vAlign w:val="center"/>
          </w:tcPr>
          <w:p w14:paraId="53048A12">
            <w:pPr>
              <w:keepNext w:val="0"/>
              <w:keepLines w:val="0"/>
              <w:widowControl/>
              <w:suppressLineNumbers w:val="0"/>
              <w:jc w:val="center"/>
              <w:rPr>
                <w:rFonts w:hint="default"/>
                <w:vertAlign w:val="baseline"/>
                <w:lang w:val="en-US"/>
              </w:rPr>
            </w:pPr>
            <w:r>
              <w:rPr>
                <w:rFonts w:hint="eastAsia" w:ascii="宋体" w:hAnsi="宋体" w:eastAsia="宋体" w:cs="宋体"/>
                <w:color w:val="000000"/>
                <w:kern w:val="0"/>
                <w:sz w:val="21"/>
                <w:szCs w:val="21"/>
                <w:lang w:val="en-US" w:eastAsia="zh-CN" w:bidi="ar"/>
              </w:rPr>
              <w:t>具有有效的建设工程检测人员岗位证书</w:t>
            </w:r>
            <w:r>
              <w:rPr>
                <w:rFonts w:hint="eastAsia" w:ascii="宋体" w:hAnsi="宋体" w:cs="宋体"/>
                <w:color w:val="000000"/>
                <w:kern w:val="0"/>
                <w:sz w:val="21"/>
                <w:szCs w:val="21"/>
                <w:lang w:val="en-US" w:eastAsia="zh-CN" w:bidi="ar"/>
              </w:rPr>
              <w:t>。</w:t>
            </w:r>
          </w:p>
        </w:tc>
      </w:tr>
      <w:tr w14:paraId="0525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6" w:type="dxa"/>
            <w:gridSpan w:val="3"/>
          </w:tcPr>
          <w:p w14:paraId="60FFF1C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备注 </w:t>
            </w:r>
          </w:p>
          <w:p w14:paraId="4BF4C98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1、响应文件应提供上表中人员的相关证书扫描件。 </w:t>
            </w:r>
          </w:p>
          <w:p w14:paraId="65C5B8B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项目负责人、试验检测师、试验检测员及委托代理人为本单位人员，并提供自2026年1月1日以来供应商为其缴纳的任何以一个月的社保证明。本项目要求提供的社保证明材料为下述形式之一（响应文件中须提供扫描件）： </w:t>
            </w:r>
          </w:p>
          <w:p w14:paraId="0C4DD8E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（1）社保局官方网站查询的缴费记录截图； （2）社保局的书面证明材料； </w:t>
            </w:r>
          </w:p>
          <w:p w14:paraId="440EDDF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（3）经供应商委托的第三方人力资源服务机构或与供应商有直接隶属关系的机构可以代缴社保，但须提供有关证明材料并经评标委员会确认。 </w:t>
            </w:r>
          </w:p>
          <w:p w14:paraId="3CF53B6F">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（4）参与投标的院校，社保证明可以用以下任意一种： </w:t>
            </w:r>
          </w:p>
          <w:p w14:paraId="72D6AEF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①加盖供应商公章的教师证（须为本单位人员）； ②医保证明材料。 </w:t>
            </w:r>
          </w:p>
          <w:p w14:paraId="5FC9CCA6">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（5）其他经评标委员会认可的证明材料。 </w:t>
            </w:r>
          </w:p>
          <w:p w14:paraId="4A40E28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（6）法定代表人参与项目的，无需提供社保证明材料，提供身份证明材料即可。 </w:t>
            </w:r>
          </w:p>
          <w:p w14:paraId="3F908604">
            <w:pPr>
              <w:keepNext w:val="0"/>
              <w:keepLines w:val="0"/>
              <w:widowControl/>
              <w:suppressLineNumbers w:val="0"/>
              <w:jc w:val="left"/>
              <w:rPr>
                <w:rFonts w:hint="default"/>
                <w:vertAlign w:val="baseline"/>
                <w:lang w:val="en-US"/>
              </w:rPr>
            </w:pPr>
            <w:r>
              <w:rPr>
                <w:rFonts w:hint="eastAsia" w:ascii="宋体" w:hAnsi="宋体" w:eastAsia="宋体" w:cs="宋体"/>
                <w:color w:val="000000"/>
                <w:kern w:val="0"/>
                <w:sz w:val="21"/>
                <w:szCs w:val="21"/>
                <w:lang w:val="en-US" w:eastAsia="zh-CN" w:bidi="ar"/>
              </w:rPr>
              <w:t>3、以上人员要求为最低配置要求，成交后，采购人可能会根据项目实际情况要求成交供应商增配相关人员，成交供应商不得拒绝。</w:t>
            </w:r>
          </w:p>
        </w:tc>
      </w:tr>
    </w:tbl>
    <w:p w14:paraId="38115CD2">
      <w:pPr>
        <w:pStyle w:val="10"/>
        <w:rPr>
          <w:rFonts w:hint="default"/>
          <w:lang w:val="en-US"/>
        </w:rPr>
      </w:pPr>
    </w:p>
    <w:p w14:paraId="1409AEAB">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firstLine="420" w:firstLineChars="200"/>
        <w:jc w:val="left"/>
        <w:textAlignment w:val="auto"/>
        <w:rPr>
          <w:rFonts w:hint="eastAsia" w:ascii="宋体" w:hAnsi="宋体" w:eastAsia="宋体" w:cs="宋体"/>
          <w:kern w:val="0"/>
          <w:sz w:val="21"/>
          <w:szCs w:val="21"/>
          <w:highlight w:val="none"/>
          <w:lang w:val="en-US" w:eastAsia="zh-CN" w:bidi="zh-CN"/>
        </w:rPr>
      </w:pPr>
    </w:p>
    <w:p w14:paraId="56FFD61F">
      <w:pPr>
        <w:pStyle w:val="5"/>
        <w:tabs>
          <w:tab w:val="left" w:pos="1125"/>
        </w:tabs>
        <w:spacing w:line="360" w:lineRule="auto"/>
        <w:ind w:right="133"/>
        <w:jc w:val="center"/>
        <w:rPr>
          <w:rFonts w:hint="eastAsia" w:ascii="宋体" w:hAnsi="宋体"/>
          <w:sz w:val="32"/>
          <w:szCs w:val="32"/>
          <w:highlight w:val="none"/>
          <w:lang w:val="en-US" w:eastAsia="zh-CN"/>
        </w:rPr>
      </w:pPr>
      <w:bookmarkStart w:id="156" w:name="_Toc4353"/>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w:t>
      </w:r>
      <w:r>
        <w:rPr>
          <w:rFonts w:hint="eastAsia" w:ascii="宋体" w:hAnsi="宋体" w:eastAsia="宋体" w:cs="宋体"/>
          <w:b/>
          <w:bCs/>
          <w:kern w:val="2"/>
          <w:sz w:val="24"/>
          <w:szCs w:val="24"/>
          <w:highlight w:val="none"/>
          <w:lang w:val="en-US" w:eastAsia="zh-CN" w:bidi="ar-SA"/>
        </w:rPr>
        <w:t>报价要求</w:t>
      </w:r>
      <w:bookmarkEnd w:id="156"/>
    </w:p>
    <w:p w14:paraId="518BFD9C">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2C3E50"/>
          <w:kern w:val="0"/>
          <w:sz w:val="24"/>
          <w:szCs w:val="24"/>
          <w:lang w:val="en-US" w:eastAsia="zh-CN" w:bidi="ar"/>
        </w:rPr>
        <w:t xml:space="preserve">1、报价方式： </w:t>
      </w:r>
    </w:p>
    <w:p w14:paraId="0DFBDEC0">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2C3E50"/>
          <w:kern w:val="0"/>
          <w:sz w:val="24"/>
          <w:szCs w:val="24"/>
          <w:lang w:val="en-US" w:eastAsia="zh-CN" w:bidi="ar"/>
        </w:rPr>
        <w:t>（1）☑总价报价：</w:t>
      </w:r>
      <w:r>
        <w:rPr>
          <w:rFonts w:hint="eastAsia" w:asciiTheme="minorEastAsia" w:hAnsiTheme="minorEastAsia" w:eastAsiaTheme="minorEastAsia" w:cstheme="minorEastAsia"/>
          <w:color w:val="2C3D50"/>
          <w:kern w:val="0"/>
          <w:sz w:val="24"/>
          <w:szCs w:val="24"/>
          <w:lang w:val="en-US" w:eastAsia="zh-CN" w:bidi="ar"/>
        </w:rPr>
        <w:t>投标人的报价应包括但不限于取样、封样、送样、检测(含检测过程中的主要及辅助材料损耗、检测设备进出场等)、出具检测报告、通过审查、利润、税金、交通、住宿、人员、管理、一般办公费、特殊办公费、设备保险费等完成招标需求及政策性文件规定及合同包含的所有风险、责任、义务等一切应有费用 ；本项目中所涉及到的一切检测工程，均视为包含在投标报价中，后期实施过程中如发生包括但不限于检测项目前期遗漏、相关检测政策和规范变化时，不予调整投标报价</w:t>
      </w:r>
      <w:r>
        <w:rPr>
          <w:rFonts w:hint="eastAsia" w:asciiTheme="minorEastAsia" w:hAnsiTheme="minorEastAsia" w:eastAsiaTheme="minorEastAsia" w:cstheme="minorEastAsia"/>
          <w:color w:val="2C3E50"/>
          <w:kern w:val="0"/>
          <w:sz w:val="24"/>
          <w:szCs w:val="24"/>
          <w:lang w:val="en-US" w:eastAsia="zh-CN" w:bidi="ar"/>
        </w:rPr>
        <w:t xml:space="preserve">； </w:t>
      </w:r>
    </w:p>
    <w:p w14:paraId="4400EC24">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2C3E50"/>
          <w:kern w:val="0"/>
          <w:sz w:val="24"/>
          <w:szCs w:val="24"/>
          <w:lang w:val="en-US" w:eastAsia="zh-CN" w:bidi="ar"/>
        </w:rPr>
        <w:t xml:space="preserve">（2）□费率报价： </w:t>
      </w:r>
    </w:p>
    <w:p w14:paraId="78EB7974">
      <w:pPr>
        <w:keepNext w:val="0"/>
        <w:keepLines w:val="0"/>
        <w:widowControl/>
        <w:suppressLineNumbers w:val="0"/>
        <w:jc w:val="left"/>
      </w:pPr>
      <w:r>
        <w:rPr>
          <w:rFonts w:hint="eastAsia" w:asciiTheme="minorEastAsia" w:hAnsiTheme="minorEastAsia" w:eastAsiaTheme="minorEastAsia" w:cstheme="minorEastAsia"/>
          <w:color w:val="2C3E50"/>
          <w:kern w:val="0"/>
          <w:sz w:val="24"/>
          <w:szCs w:val="24"/>
          <w:lang w:val="en-US" w:eastAsia="zh-CN" w:bidi="ar"/>
        </w:rPr>
        <w:t>（3）</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eastAsiaTheme="minorEastAsia" w:cstheme="minorEastAsia"/>
          <w:color w:val="2C3E50"/>
          <w:kern w:val="0"/>
          <w:sz w:val="24"/>
          <w:szCs w:val="24"/>
          <w:lang w:val="en-US" w:eastAsia="zh-CN" w:bidi="ar"/>
        </w:rPr>
        <w:t>单价报价： ；</w:t>
      </w:r>
    </w:p>
    <w:p w14:paraId="05EEF143">
      <w:pPr>
        <w:pStyle w:val="5"/>
        <w:tabs>
          <w:tab w:val="left" w:pos="1125"/>
        </w:tabs>
        <w:spacing w:line="360" w:lineRule="auto"/>
        <w:ind w:right="133"/>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五、其他要求</w:t>
      </w:r>
    </w:p>
    <w:p w14:paraId="25F13307">
      <w:pPr>
        <w:pStyle w:val="5"/>
        <w:tabs>
          <w:tab w:val="left" w:pos="1125"/>
        </w:tabs>
        <w:spacing w:line="360" w:lineRule="auto"/>
        <w:ind w:right="133"/>
        <w:jc w:val="left"/>
        <w:rPr>
          <w:rFonts w:hint="eastAsia" w:ascii="宋体" w:hAnsi="宋体" w:eastAsia="宋体" w:cs="Times New Roman"/>
          <w:sz w:val="24"/>
          <w:szCs w:val="24"/>
          <w:highlight w:val="none"/>
        </w:rPr>
      </w:pPr>
      <w:r>
        <w:rPr>
          <w:rFonts w:hint="eastAsia" w:ascii="宋体" w:hAnsi="宋体" w:cs="Times New Roman"/>
          <w:b w:val="0"/>
          <w:bCs w:val="0"/>
          <w:sz w:val="24"/>
          <w:szCs w:val="24"/>
          <w:highlight w:val="none"/>
          <w:lang w:val="en-US" w:eastAsia="zh-CN"/>
        </w:rPr>
        <w:t>1、供应商如需图纸及工程量清单，可前往阜阳市公共资源交易中心网站自行下载。</w:t>
      </w:r>
      <w:r>
        <w:rPr>
          <w:rFonts w:hint="eastAsia" w:ascii="宋体" w:hAnsi="宋体" w:eastAsia="宋体" w:cs="Times New Roman"/>
          <w:sz w:val="24"/>
          <w:szCs w:val="24"/>
          <w:highlight w:val="none"/>
        </w:rPr>
        <w:br w:type="page"/>
      </w:r>
    </w:p>
    <w:p w14:paraId="51F2E090">
      <w:pPr>
        <w:pStyle w:val="5"/>
        <w:numPr>
          <w:ilvl w:val="0"/>
          <w:numId w:val="0"/>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157" w:name="_Toc24605"/>
      <w:r>
        <w:rPr>
          <w:rFonts w:hint="eastAsia" w:ascii="宋体" w:hAnsi="宋体" w:eastAsia="宋体" w:cs="Times New Roman"/>
          <w:b/>
          <w:bCs/>
          <w:kern w:val="44"/>
          <w:sz w:val="32"/>
          <w:szCs w:val="32"/>
          <w:lang w:val="en-US" w:eastAsia="zh-CN" w:bidi="ar-SA"/>
        </w:rPr>
        <w:t>第四章</w:t>
      </w:r>
      <w:r>
        <w:rPr>
          <w:rFonts w:hint="eastAsia" w:ascii="宋体" w:hAnsi="宋体"/>
          <w:sz w:val="32"/>
          <w:szCs w:val="32"/>
          <w:highlight w:val="none"/>
        </w:rPr>
        <w:t>评审方法和标准</w:t>
      </w:r>
      <w:bookmarkEnd w:id="157"/>
    </w:p>
    <w:p w14:paraId="35BB79B4">
      <w:pPr>
        <w:pStyle w:val="8"/>
        <w:rPr>
          <w:highlight w:val="none"/>
        </w:rPr>
      </w:pPr>
      <w:r>
        <w:rPr>
          <w:highlight w:val="none"/>
        </w:rPr>
        <w:t>一、总则</w:t>
      </w:r>
    </w:p>
    <w:p w14:paraId="40F13A55">
      <w:pPr>
        <w:pStyle w:val="10"/>
        <w:spacing w:before="160" w:line="360" w:lineRule="auto"/>
        <w:ind w:left="671" w:right="413" w:hanging="3"/>
        <w:rPr>
          <w:sz w:val="21"/>
          <w:szCs w:val="21"/>
          <w:highlight w:val="none"/>
        </w:rPr>
      </w:pPr>
      <w:r>
        <w:rPr>
          <w:sz w:val="21"/>
          <w:szCs w:val="21"/>
          <w:highlight w:val="none"/>
        </w:rPr>
        <w:t>本项目将按照</w:t>
      </w:r>
      <w:r>
        <w:rPr>
          <w:rFonts w:hint="eastAsia"/>
          <w:sz w:val="21"/>
          <w:szCs w:val="21"/>
          <w:highlight w:val="none"/>
          <w:lang w:eastAsia="zh-CN"/>
        </w:rPr>
        <w:t>谈判</w:t>
      </w:r>
      <w:r>
        <w:rPr>
          <w:sz w:val="21"/>
          <w:szCs w:val="21"/>
          <w:highlight w:val="none"/>
        </w:rPr>
        <w:t>文件第二章 供应商须知的相关要求及本章的规定评审。</w:t>
      </w:r>
    </w:p>
    <w:p w14:paraId="5DA6C889">
      <w:pPr>
        <w:pStyle w:val="10"/>
        <w:spacing w:before="160" w:line="360" w:lineRule="auto"/>
        <w:ind w:left="671" w:right="413" w:hanging="3"/>
        <w:jc w:val="center"/>
        <w:rPr>
          <w:b/>
          <w:sz w:val="21"/>
          <w:szCs w:val="21"/>
          <w:highlight w:val="none"/>
        </w:rPr>
      </w:pPr>
      <w:r>
        <w:rPr>
          <w:rFonts w:cs="Times New Roman"/>
          <w:b/>
          <w:bCs/>
          <w:kern w:val="2"/>
          <w:sz w:val="21"/>
          <w:szCs w:val="21"/>
          <w:highlight w:val="none"/>
          <w:lang w:val="en-US" w:bidi="ar-SA"/>
        </w:rPr>
        <w:t>二、评审方法</w:t>
      </w:r>
    </w:p>
    <w:p w14:paraId="4ED06950">
      <w:pPr>
        <w:pStyle w:val="27"/>
        <w:numPr>
          <w:ilvl w:val="1"/>
          <w:numId w:val="4"/>
        </w:numPr>
        <w:tabs>
          <w:tab w:val="left" w:pos="1090"/>
        </w:tabs>
        <w:spacing w:before="5" w:line="360" w:lineRule="auto"/>
        <w:ind w:hanging="421"/>
        <w:rPr>
          <w:sz w:val="21"/>
          <w:szCs w:val="21"/>
          <w:highlight w:val="none"/>
        </w:rPr>
      </w:pPr>
      <w:r>
        <w:rPr>
          <w:sz w:val="21"/>
          <w:szCs w:val="21"/>
          <w:highlight w:val="none"/>
        </w:rPr>
        <w:t>初审</w:t>
      </w:r>
    </w:p>
    <w:p w14:paraId="4B1F8730">
      <w:pPr>
        <w:pStyle w:val="10"/>
        <w:spacing w:before="159" w:line="360" w:lineRule="auto"/>
        <w:ind w:left="234" w:right="373" w:firstLine="434"/>
        <w:rPr>
          <w:sz w:val="21"/>
          <w:szCs w:val="21"/>
          <w:highlight w:val="none"/>
        </w:rPr>
      </w:pPr>
      <w:r>
        <w:rPr>
          <w:rFonts w:hint="eastAsia"/>
          <w:spacing w:val="-6"/>
          <w:sz w:val="21"/>
          <w:szCs w:val="21"/>
          <w:highlight w:val="none"/>
          <w:lang w:eastAsia="zh-CN"/>
        </w:rPr>
        <w:t>谈判</w:t>
      </w:r>
      <w:r>
        <w:rPr>
          <w:spacing w:val="-6"/>
          <w:sz w:val="21"/>
          <w:szCs w:val="21"/>
          <w:highlight w:val="none"/>
        </w:rPr>
        <w:t>小组对供应商的响应文件进行初审，以确定其是否满足</w:t>
      </w:r>
      <w:r>
        <w:rPr>
          <w:rFonts w:hint="eastAsia"/>
          <w:spacing w:val="-6"/>
          <w:sz w:val="21"/>
          <w:szCs w:val="21"/>
          <w:highlight w:val="none"/>
          <w:lang w:eastAsia="zh-CN"/>
        </w:rPr>
        <w:t>谈判</w:t>
      </w:r>
      <w:r>
        <w:rPr>
          <w:spacing w:val="-6"/>
          <w:sz w:val="21"/>
          <w:szCs w:val="21"/>
          <w:highlight w:val="none"/>
        </w:rPr>
        <w:t>文件的实质</w:t>
      </w:r>
      <w:r>
        <w:rPr>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127"/>
        <w:gridCol w:w="2393"/>
        <w:gridCol w:w="3261"/>
      </w:tblGrid>
      <w:tr w14:paraId="1E4EB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12B28C40">
            <w:pPr>
              <w:pStyle w:val="25"/>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26522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5A075D32">
            <w:pPr>
              <w:pStyle w:val="25"/>
              <w:spacing w:line="360" w:lineRule="auto"/>
              <w:ind w:left="102" w:right="83"/>
              <w:jc w:val="center"/>
              <w:rPr>
                <w:sz w:val="21"/>
                <w:szCs w:val="21"/>
                <w:highlight w:val="none"/>
                <w:lang w:eastAsia="en-US"/>
              </w:rPr>
            </w:pPr>
            <w:r>
              <w:rPr>
                <w:sz w:val="21"/>
                <w:szCs w:val="21"/>
                <w:highlight w:val="none"/>
                <w:lang w:eastAsia="en-US"/>
              </w:rPr>
              <w:t>序号</w:t>
            </w:r>
          </w:p>
        </w:tc>
        <w:tc>
          <w:tcPr>
            <w:tcW w:w="2127" w:type="dxa"/>
            <w:shd w:val="clear" w:color="auto" w:fill="auto"/>
            <w:vAlign w:val="center"/>
          </w:tcPr>
          <w:p w14:paraId="6023036D">
            <w:pPr>
              <w:pStyle w:val="25"/>
              <w:spacing w:line="360" w:lineRule="auto"/>
              <w:ind w:left="107" w:right="91"/>
              <w:jc w:val="center"/>
              <w:rPr>
                <w:sz w:val="21"/>
                <w:szCs w:val="21"/>
                <w:highlight w:val="none"/>
                <w:lang w:eastAsia="en-US"/>
              </w:rPr>
            </w:pPr>
            <w:r>
              <w:rPr>
                <w:sz w:val="21"/>
                <w:szCs w:val="21"/>
                <w:highlight w:val="none"/>
                <w:lang w:eastAsia="en-US"/>
              </w:rPr>
              <w:t>评审指标</w:t>
            </w:r>
          </w:p>
        </w:tc>
        <w:tc>
          <w:tcPr>
            <w:tcW w:w="2393" w:type="dxa"/>
            <w:tcBorders>
              <w:right w:val="single" w:color="000000" w:sz="6" w:space="0"/>
            </w:tcBorders>
            <w:shd w:val="clear" w:color="auto" w:fill="auto"/>
            <w:vAlign w:val="center"/>
          </w:tcPr>
          <w:p w14:paraId="78D543B2">
            <w:pPr>
              <w:pStyle w:val="25"/>
              <w:spacing w:line="360" w:lineRule="auto"/>
              <w:ind w:left="170" w:right="150"/>
              <w:jc w:val="center"/>
              <w:rPr>
                <w:sz w:val="21"/>
                <w:szCs w:val="21"/>
                <w:highlight w:val="none"/>
                <w:lang w:eastAsia="en-US"/>
              </w:rPr>
            </w:pPr>
            <w:r>
              <w:rPr>
                <w:sz w:val="21"/>
                <w:szCs w:val="21"/>
                <w:highlight w:val="none"/>
                <w:lang w:eastAsia="en-US"/>
              </w:rPr>
              <w:t>评审标准</w:t>
            </w:r>
          </w:p>
        </w:tc>
        <w:tc>
          <w:tcPr>
            <w:tcW w:w="3261" w:type="dxa"/>
            <w:tcBorders>
              <w:left w:val="single" w:color="000000" w:sz="6" w:space="0"/>
            </w:tcBorders>
            <w:shd w:val="clear" w:color="auto" w:fill="auto"/>
            <w:vAlign w:val="center"/>
          </w:tcPr>
          <w:p w14:paraId="5EA2444D">
            <w:pPr>
              <w:pStyle w:val="25"/>
              <w:spacing w:line="360" w:lineRule="auto"/>
              <w:ind w:left="1095"/>
              <w:rPr>
                <w:sz w:val="21"/>
                <w:szCs w:val="21"/>
                <w:highlight w:val="none"/>
                <w:lang w:eastAsia="en-US"/>
              </w:rPr>
            </w:pPr>
            <w:r>
              <w:rPr>
                <w:sz w:val="21"/>
                <w:szCs w:val="21"/>
                <w:highlight w:val="none"/>
                <w:lang w:eastAsia="en-US"/>
              </w:rPr>
              <w:t>格式及材料要求</w:t>
            </w:r>
          </w:p>
        </w:tc>
      </w:tr>
      <w:tr w14:paraId="661BD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15" w:type="dxa"/>
            <w:shd w:val="clear" w:color="auto" w:fill="auto"/>
            <w:vAlign w:val="center"/>
          </w:tcPr>
          <w:p w14:paraId="3A1CA056">
            <w:pPr>
              <w:pStyle w:val="25"/>
              <w:spacing w:line="360" w:lineRule="auto"/>
              <w:ind w:left="19"/>
              <w:jc w:val="center"/>
              <w:rPr>
                <w:sz w:val="21"/>
                <w:szCs w:val="21"/>
                <w:highlight w:val="none"/>
                <w:lang w:eastAsia="en-US"/>
              </w:rPr>
            </w:pPr>
            <w:r>
              <w:rPr>
                <w:sz w:val="21"/>
                <w:szCs w:val="21"/>
                <w:highlight w:val="none"/>
                <w:lang w:eastAsia="en-US"/>
              </w:rPr>
              <w:t>1</w:t>
            </w:r>
          </w:p>
        </w:tc>
        <w:tc>
          <w:tcPr>
            <w:tcW w:w="2127" w:type="dxa"/>
            <w:shd w:val="clear" w:color="auto" w:fill="auto"/>
            <w:vAlign w:val="center"/>
          </w:tcPr>
          <w:p w14:paraId="2B697333">
            <w:pPr>
              <w:pStyle w:val="25"/>
              <w:spacing w:line="360" w:lineRule="auto"/>
              <w:ind w:right="91" w:firstLine="420" w:firstLineChars="200"/>
              <w:jc w:val="center"/>
              <w:rPr>
                <w:sz w:val="21"/>
                <w:szCs w:val="21"/>
                <w:highlight w:val="none"/>
                <w:lang w:eastAsia="en-US"/>
              </w:rPr>
            </w:pPr>
            <w:r>
              <w:rPr>
                <w:sz w:val="21"/>
                <w:szCs w:val="21"/>
                <w:highlight w:val="none"/>
                <w:lang w:eastAsia="en-US"/>
              </w:rPr>
              <w:t>营业执照</w:t>
            </w:r>
          </w:p>
        </w:tc>
        <w:tc>
          <w:tcPr>
            <w:tcW w:w="2393" w:type="dxa"/>
            <w:tcBorders>
              <w:right w:val="single" w:color="000000" w:sz="6" w:space="0"/>
            </w:tcBorders>
            <w:shd w:val="clear" w:color="auto" w:fill="auto"/>
            <w:vAlign w:val="center"/>
          </w:tcPr>
          <w:p w14:paraId="7B012B70">
            <w:pPr>
              <w:pStyle w:val="25"/>
              <w:spacing w:line="360" w:lineRule="auto"/>
              <w:ind w:right="150" w:firstLine="210" w:firstLineChars="100"/>
              <w:jc w:val="both"/>
              <w:rPr>
                <w:sz w:val="21"/>
                <w:szCs w:val="21"/>
                <w:highlight w:val="none"/>
                <w:lang w:eastAsia="en-US"/>
              </w:rPr>
            </w:pPr>
            <w:r>
              <w:rPr>
                <w:sz w:val="21"/>
                <w:szCs w:val="21"/>
                <w:highlight w:val="none"/>
                <w:lang w:eastAsia="en-US"/>
              </w:rPr>
              <w:t>合法有效</w:t>
            </w:r>
          </w:p>
        </w:tc>
        <w:tc>
          <w:tcPr>
            <w:tcW w:w="3261" w:type="dxa"/>
            <w:tcBorders>
              <w:left w:val="single" w:color="000000" w:sz="6" w:space="0"/>
            </w:tcBorders>
            <w:shd w:val="clear" w:color="auto" w:fill="auto"/>
            <w:vAlign w:val="center"/>
          </w:tcPr>
          <w:p w14:paraId="0A29AC24">
            <w:pPr>
              <w:pStyle w:val="25"/>
              <w:spacing w:line="360" w:lineRule="auto"/>
              <w:ind w:left="106" w:right="-29"/>
              <w:rPr>
                <w:sz w:val="21"/>
                <w:szCs w:val="21"/>
                <w:highlight w:val="none"/>
                <w:lang w:eastAsia="en-US"/>
              </w:rPr>
            </w:pPr>
          </w:p>
        </w:tc>
      </w:tr>
      <w:tr w14:paraId="7825C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219157C4">
            <w:pPr>
              <w:pStyle w:val="25"/>
              <w:spacing w:line="360" w:lineRule="auto"/>
              <w:jc w:val="both"/>
              <w:rPr>
                <w:rFonts w:hint="eastAsia"/>
                <w:sz w:val="21"/>
                <w:szCs w:val="21"/>
                <w:lang w:val="en-US" w:eastAsia="zh-CN"/>
              </w:rPr>
            </w:pPr>
          </w:p>
          <w:p w14:paraId="65A9ACE9">
            <w:pPr>
              <w:pStyle w:val="25"/>
              <w:spacing w:line="360" w:lineRule="auto"/>
              <w:ind w:left="19" w:leftChars="0"/>
              <w:jc w:val="center"/>
              <w:rPr>
                <w:rFonts w:hint="eastAsia"/>
                <w:sz w:val="21"/>
                <w:szCs w:val="21"/>
                <w:highlight w:val="none"/>
                <w:lang w:val="en-US" w:eastAsia="zh-CN"/>
              </w:rPr>
            </w:pPr>
            <w:r>
              <w:rPr>
                <w:rFonts w:hint="eastAsia"/>
                <w:sz w:val="21"/>
                <w:szCs w:val="21"/>
                <w:lang w:val="en-US" w:eastAsia="zh-CN"/>
              </w:rPr>
              <w:t>2</w:t>
            </w:r>
          </w:p>
        </w:tc>
        <w:tc>
          <w:tcPr>
            <w:tcW w:w="2127" w:type="dxa"/>
            <w:shd w:val="clear" w:color="auto" w:fill="auto"/>
            <w:vAlign w:val="center"/>
          </w:tcPr>
          <w:p w14:paraId="5C393D5F">
            <w:pPr>
              <w:pStyle w:val="25"/>
              <w:spacing w:line="360" w:lineRule="auto"/>
              <w:ind w:left="230"/>
              <w:jc w:val="center"/>
              <w:rPr>
                <w:rFonts w:hint="eastAsia"/>
                <w:sz w:val="21"/>
                <w:szCs w:val="21"/>
                <w:highlight w:val="none"/>
                <w:lang w:eastAsia="zh-CN"/>
              </w:rPr>
            </w:pPr>
            <w:r>
              <w:rPr>
                <w:sz w:val="21"/>
                <w:szCs w:val="21"/>
              </w:rPr>
              <w:t>供应商资质</w:t>
            </w:r>
          </w:p>
        </w:tc>
        <w:tc>
          <w:tcPr>
            <w:tcW w:w="2393" w:type="dxa"/>
            <w:tcBorders>
              <w:right w:val="single" w:color="auto" w:sz="4" w:space="0"/>
            </w:tcBorders>
            <w:shd w:val="clear" w:color="auto" w:fill="auto"/>
            <w:vAlign w:val="center"/>
          </w:tcPr>
          <w:p w14:paraId="5326B945">
            <w:pPr>
              <w:pStyle w:val="25"/>
              <w:spacing w:before="26" w:line="360" w:lineRule="auto"/>
              <w:ind w:left="532" w:leftChars="0" w:right="150" w:rightChars="0" w:hanging="360" w:firstLineChars="0"/>
              <w:jc w:val="center"/>
              <w:rPr>
                <w:spacing w:val="-14"/>
                <w:sz w:val="21"/>
                <w:szCs w:val="21"/>
                <w:highlight w:val="none"/>
              </w:rPr>
            </w:pPr>
            <w:r>
              <w:rPr>
                <w:sz w:val="21"/>
                <w:szCs w:val="21"/>
              </w:rPr>
              <w:t>符合供应商资格中的资质要求</w:t>
            </w:r>
          </w:p>
        </w:tc>
        <w:tc>
          <w:tcPr>
            <w:tcW w:w="3261" w:type="dxa"/>
            <w:tcBorders>
              <w:top w:val="single" w:color="auto" w:sz="4" w:space="0"/>
              <w:left w:val="single" w:color="auto" w:sz="4" w:space="0"/>
              <w:right w:val="single" w:color="auto" w:sz="4" w:space="0"/>
            </w:tcBorders>
            <w:shd w:val="clear" w:color="auto" w:fill="auto"/>
            <w:vAlign w:val="center"/>
          </w:tcPr>
          <w:p w14:paraId="6DBD588C">
            <w:pPr>
              <w:pStyle w:val="25"/>
              <w:spacing w:before="50" w:line="360" w:lineRule="auto"/>
              <w:ind w:left="106" w:leftChars="0" w:right="147" w:rightChars="0"/>
              <w:jc w:val="center"/>
              <w:rPr>
                <w:sz w:val="21"/>
                <w:szCs w:val="21"/>
                <w:highlight w:val="none"/>
              </w:rPr>
            </w:pPr>
            <w:r>
              <w:rPr>
                <w:sz w:val="21"/>
                <w:szCs w:val="21"/>
              </w:rPr>
              <w:t>提供符合供应商资格中要求的资质证书扫描件</w:t>
            </w:r>
          </w:p>
        </w:tc>
      </w:tr>
      <w:tr w14:paraId="35A0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3B2C9C5E">
            <w:pPr>
              <w:pStyle w:val="25"/>
              <w:spacing w:before="2" w:line="360" w:lineRule="auto"/>
              <w:jc w:val="center"/>
              <w:rPr>
                <w:sz w:val="21"/>
                <w:szCs w:val="21"/>
                <w:highlight w:val="none"/>
              </w:rPr>
            </w:pPr>
          </w:p>
          <w:p w14:paraId="5ECFD0B8">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3</w:t>
            </w:r>
          </w:p>
        </w:tc>
        <w:tc>
          <w:tcPr>
            <w:tcW w:w="2127" w:type="dxa"/>
            <w:shd w:val="clear" w:color="auto" w:fill="auto"/>
            <w:vAlign w:val="center"/>
          </w:tcPr>
          <w:p w14:paraId="6E2D35AD">
            <w:pPr>
              <w:pStyle w:val="25"/>
              <w:spacing w:before="209" w:line="360" w:lineRule="auto"/>
              <w:ind w:left="107" w:right="91"/>
              <w:jc w:val="center"/>
              <w:rPr>
                <w:sz w:val="21"/>
                <w:szCs w:val="21"/>
                <w:highlight w:val="none"/>
                <w:lang w:eastAsia="en-US"/>
              </w:rPr>
            </w:pPr>
            <w:r>
              <w:rPr>
                <w:rFonts w:hint="eastAsia"/>
                <w:sz w:val="21"/>
                <w:szCs w:val="21"/>
                <w:highlight w:val="none"/>
                <w:lang w:eastAsia="zh-CN"/>
              </w:rPr>
              <w:t>谈判</w:t>
            </w:r>
            <w:r>
              <w:rPr>
                <w:sz w:val="21"/>
                <w:szCs w:val="21"/>
                <w:highlight w:val="none"/>
                <w:lang w:eastAsia="en-US"/>
              </w:rPr>
              <w:t>响应函</w:t>
            </w:r>
          </w:p>
        </w:tc>
        <w:tc>
          <w:tcPr>
            <w:tcW w:w="2393" w:type="dxa"/>
            <w:tcBorders>
              <w:right w:val="single" w:color="auto" w:sz="4" w:space="0"/>
            </w:tcBorders>
            <w:shd w:val="clear" w:color="auto" w:fill="auto"/>
            <w:vAlign w:val="center"/>
          </w:tcPr>
          <w:p w14:paraId="5A33EFC6">
            <w:pPr>
              <w:pStyle w:val="25"/>
              <w:spacing w:line="360" w:lineRule="auto"/>
              <w:ind w:left="105"/>
              <w:rPr>
                <w:sz w:val="21"/>
                <w:szCs w:val="21"/>
                <w:highlight w:val="none"/>
              </w:rPr>
            </w:pPr>
            <w:r>
              <w:rPr>
                <w:spacing w:val="-14"/>
                <w:sz w:val="21"/>
                <w:szCs w:val="21"/>
                <w:highlight w:val="none"/>
              </w:rPr>
              <w:t>格式、填写要求符合</w:t>
            </w:r>
            <w:r>
              <w:rPr>
                <w:rFonts w:hint="eastAsia"/>
                <w:sz w:val="21"/>
                <w:szCs w:val="21"/>
                <w:highlight w:val="none"/>
                <w:lang w:eastAsia="zh-CN"/>
              </w:rPr>
              <w:t>谈判</w:t>
            </w:r>
            <w:r>
              <w:rPr>
                <w:sz w:val="21"/>
                <w:szCs w:val="21"/>
                <w:highlight w:val="none"/>
              </w:rPr>
              <w:t>文件规定并加盖供应商公章</w:t>
            </w:r>
          </w:p>
        </w:tc>
        <w:tc>
          <w:tcPr>
            <w:tcW w:w="3261" w:type="dxa"/>
            <w:tcBorders>
              <w:top w:val="single" w:color="auto" w:sz="4" w:space="0"/>
              <w:left w:val="single" w:color="auto" w:sz="4" w:space="0"/>
              <w:right w:val="single" w:color="auto" w:sz="4" w:space="0"/>
            </w:tcBorders>
            <w:shd w:val="clear" w:color="auto" w:fill="auto"/>
            <w:vAlign w:val="center"/>
          </w:tcPr>
          <w:p w14:paraId="36C18CBE">
            <w:pPr>
              <w:pStyle w:val="25"/>
              <w:keepNext w:val="0"/>
              <w:keepLines w:val="0"/>
              <w:pageBreakBefore w:val="0"/>
              <w:widowControl w:val="0"/>
              <w:kinsoku/>
              <w:wordWrap/>
              <w:overflowPunct/>
              <w:topLinePunct w:val="0"/>
              <w:autoSpaceDE w:val="0"/>
              <w:autoSpaceDN w:val="0"/>
              <w:bidi w:val="0"/>
              <w:adjustRightInd/>
              <w:snapToGrid/>
              <w:spacing w:before="2" w:line="360" w:lineRule="auto"/>
              <w:ind w:left="105" w:leftChars="50" w:right="283"/>
              <w:textAlignment w:val="auto"/>
              <w:rPr>
                <w:sz w:val="21"/>
                <w:szCs w:val="21"/>
                <w:highlight w:val="none"/>
              </w:rPr>
            </w:pPr>
          </w:p>
          <w:p w14:paraId="31738CCE">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24EE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715" w:type="dxa"/>
            <w:shd w:val="clear" w:color="auto" w:fill="auto"/>
            <w:vAlign w:val="center"/>
          </w:tcPr>
          <w:p w14:paraId="6768636B">
            <w:pPr>
              <w:pStyle w:val="25"/>
              <w:spacing w:line="360" w:lineRule="auto"/>
              <w:jc w:val="center"/>
              <w:rPr>
                <w:sz w:val="21"/>
                <w:szCs w:val="21"/>
                <w:highlight w:val="none"/>
              </w:rPr>
            </w:pPr>
          </w:p>
          <w:p w14:paraId="785FECA2">
            <w:pPr>
              <w:pStyle w:val="25"/>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4</w:t>
            </w:r>
          </w:p>
        </w:tc>
        <w:tc>
          <w:tcPr>
            <w:tcW w:w="2127" w:type="dxa"/>
            <w:shd w:val="clear" w:color="auto" w:fill="auto"/>
            <w:vAlign w:val="center"/>
          </w:tcPr>
          <w:p w14:paraId="46232B39">
            <w:pPr>
              <w:pStyle w:val="25"/>
              <w:spacing w:line="360" w:lineRule="auto"/>
              <w:jc w:val="center"/>
              <w:rPr>
                <w:sz w:val="21"/>
                <w:szCs w:val="21"/>
                <w:highlight w:val="none"/>
                <w:lang w:eastAsia="en-US"/>
              </w:rPr>
            </w:pPr>
          </w:p>
          <w:p w14:paraId="3AE079E5">
            <w:pPr>
              <w:pStyle w:val="25"/>
              <w:spacing w:before="158" w:line="360" w:lineRule="auto"/>
              <w:ind w:left="107" w:right="91"/>
              <w:jc w:val="center"/>
              <w:rPr>
                <w:sz w:val="21"/>
                <w:szCs w:val="21"/>
                <w:highlight w:val="none"/>
                <w:lang w:eastAsia="en-US"/>
              </w:rPr>
            </w:pPr>
            <w:r>
              <w:rPr>
                <w:rFonts w:hint="eastAsia"/>
                <w:sz w:val="21"/>
                <w:szCs w:val="21"/>
                <w:highlight w:val="none"/>
                <w:lang w:eastAsia="zh-CN"/>
              </w:rPr>
              <w:t>谈判</w:t>
            </w:r>
            <w:r>
              <w:rPr>
                <w:sz w:val="21"/>
                <w:szCs w:val="21"/>
                <w:highlight w:val="none"/>
                <w:lang w:eastAsia="en-US"/>
              </w:rPr>
              <w:t>授权书</w:t>
            </w:r>
          </w:p>
        </w:tc>
        <w:tc>
          <w:tcPr>
            <w:tcW w:w="2393" w:type="dxa"/>
            <w:tcBorders>
              <w:right w:val="single" w:color="auto" w:sz="4" w:space="0"/>
            </w:tcBorders>
            <w:shd w:val="clear" w:color="auto" w:fill="auto"/>
            <w:vAlign w:val="center"/>
          </w:tcPr>
          <w:p w14:paraId="31591CE1">
            <w:pPr>
              <w:pStyle w:val="25"/>
              <w:spacing w:line="360" w:lineRule="auto"/>
              <w:ind w:left="172" w:right="83" w:hanging="68"/>
              <w:jc w:val="both"/>
              <w:rPr>
                <w:sz w:val="21"/>
                <w:szCs w:val="21"/>
                <w:highlight w:val="none"/>
              </w:rPr>
            </w:pPr>
            <w:r>
              <w:rPr>
                <w:spacing w:val="-16"/>
                <w:sz w:val="21"/>
                <w:szCs w:val="21"/>
                <w:highlight w:val="none"/>
              </w:rPr>
              <w:t>格式、填写要求符合</w:t>
            </w:r>
            <w:r>
              <w:rPr>
                <w:rFonts w:hint="eastAsia"/>
                <w:sz w:val="21"/>
                <w:szCs w:val="21"/>
                <w:highlight w:val="none"/>
                <w:lang w:eastAsia="zh-CN"/>
              </w:rPr>
              <w:t>谈判</w:t>
            </w:r>
            <w:r>
              <w:rPr>
                <w:sz w:val="21"/>
                <w:szCs w:val="21"/>
                <w:highlight w:val="none"/>
              </w:rPr>
              <w:t>文件规定并加盖供应商公章</w:t>
            </w:r>
          </w:p>
        </w:tc>
        <w:tc>
          <w:tcPr>
            <w:tcW w:w="3261" w:type="dxa"/>
            <w:tcBorders>
              <w:left w:val="single" w:color="auto" w:sz="4" w:space="0"/>
              <w:right w:val="single" w:color="auto" w:sz="4" w:space="0"/>
            </w:tcBorders>
            <w:shd w:val="clear" w:color="auto" w:fill="auto"/>
            <w:vAlign w:val="center"/>
          </w:tcPr>
          <w:p w14:paraId="20EC3A23">
            <w:pPr>
              <w:pStyle w:val="25"/>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sz w:val="21"/>
                <w:szCs w:val="21"/>
                <w:highlight w:val="none"/>
              </w:rPr>
            </w:pPr>
            <w:r>
              <w:rPr>
                <w:sz w:val="21"/>
                <w:szCs w:val="21"/>
                <w:highlight w:val="none"/>
              </w:rPr>
              <w:t>法定代表人参加</w:t>
            </w:r>
            <w:r>
              <w:rPr>
                <w:rFonts w:hint="eastAsia"/>
                <w:sz w:val="21"/>
                <w:szCs w:val="21"/>
                <w:highlight w:val="none"/>
                <w:lang w:eastAsia="zh-CN"/>
              </w:rPr>
              <w:t>谈判</w:t>
            </w:r>
            <w:r>
              <w:rPr>
                <w:sz w:val="21"/>
                <w:szCs w:val="21"/>
                <w:highlight w:val="none"/>
              </w:rPr>
              <w:t>的无需此件， 提供身份证明即可。详见第六章响应文件格式</w:t>
            </w:r>
          </w:p>
        </w:tc>
      </w:tr>
      <w:tr w14:paraId="1EFAD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715" w:type="dxa"/>
            <w:shd w:val="clear" w:color="auto" w:fill="auto"/>
            <w:vAlign w:val="center"/>
          </w:tcPr>
          <w:p w14:paraId="5347A5D4">
            <w:pPr>
              <w:pStyle w:val="25"/>
              <w:spacing w:before="184" w:line="360" w:lineRule="auto"/>
              <w:jc w:val="center"/>
              <w:rPr>
                <w:rFonts w:hint="eastAsia" w:eastAsia="宋体"/>
                <w:sz w:val="21"/>
                <w:szCs w:val="21"/>
                <w:highlight w:val="none"/>
                <w:lang w:eastAsia="zh-CN"/>
              </w:rPr>
            </w:pPr>
            <w:r>
              <w:rPr>
                <w:rFonts w:hint="eastAsia"/>
                <w:sz w:val="21"/>
                <w:szCs w:val="21"/>
                <w:highlight w:val="none"/>
                <w:lang w:val="en-US" w:eastAsia="zh-CN"/>
              </w:rPr>
              <w:t>5</w:t>
            </w:r>
          </w:p>
        </w:tc>
        <w:tc>
          <w:tcPr>
            <w:tcW w:w="2127" w:type="dxa"/>
            <w:shd w:val="clear" w:color="auto" w:fill="auto"/>
            <w:vAlign w:val="center"/>
          </w:tcPr>
          <w:p w14:paraId="72084AA3">
            <w:pPr>
              <w:pStyle w:val="25"/>
              <w:spacing w:before="158" w:line="360" w:lineRule="auto"/>
              <w:ind w:right="91" w:firstLine="210" w:firstLineChars="100"/>
              <w:jc w:val="center"/>
              <w:rPr>
                <w:sz w:val="21"/>
                <w:szCs w:val="21"/>
                <w:highlight w:val="none"/>
                <w:lang w:eastAsia="en-US"/>
              </w:rPr>
            </w:pPr>
            <w:r>
              <w:rPr>
                <w:rFonts w:hint="eastAsia"/>
                <w:sz w:val="21"/>
                <w:szCs w:val="21"/>
                <w:highlight w:val="none"/>
                <w:lang w:eastAsia="zh-CN"/>
              </w:rPr>
              <w:t>谈判</w:t>
            </w:r>
            <w:r>
              <w:rPr>
                <w:sz w:val="21"/>
                <w:szCs w:val="21"/>
                <w:highlight w:val="none"/>
                <w:lang w:eastAsia="en-US"/>
              </w:rPr>
              <w:t>报价</w:t>
            </w:r>
          </w:p>
        </w:tc>
        <w:tc>
          <w:tcPr>
            <w:tcW w:w="2393" w:type="dxa"/>
            <w:tcBorders>
              <w:right w:val="single" w:color="auto" w:sz="4" w:space="0"/>
            </w:tcBorders>
            <w:shd w:val="clear" w:color="auto" w:fill="auto"/>
            <w:vAlign w:val="center"/>
          </w:tcPr>
          <w:p w14:paraId="03D1F03D">
            <w:pPr>
              <w:pStyle w:val="25"/>
              <w:spacing w:line="360" w:lineRule="auto"/>
              <w:ind w:left="141" w:right="121" w:firstLine="2"/>
              <w:jc w:val="center"/>
              <w:rPr>
                <w:sz w:val="21"/>
                <w:szCs w:val="21"/>
                <w:highlight w:val="none"/>
              </w:rPr>
            </w:pPr>
            <w:r>
              <w:rPr>
                <w:sz w:val="21"/>
                <w:szCs w:val="21"/>
                <w:highlight w:val="none"/>
              </w:rPr>
              <w:t>符合</w:t>
            </w:r>
            <w:r>
              <w:rPr>
                <w:rFonts w:hint="eastAsia"/>
                <w:sz w:val="21"/>
                <w:szCs w:val="21"/>
                <w:highlight w:val="none"/>
                <w:lang w:eastAsia="zh-CN"/>
              </w:rPr>
              <w:t>谈判</w:t>
            </w:r>
            <w:r>
              <w:rPr>
                <w:sz w:val="21"/>
                <w:szCs w:val="21"/>
                <w:highlight w:val="none"/>
              </w:rPr>
              <w:t>文件</w:t>
            </w:r>
            <w:r>
              <w:rPr>
                <w:spacing w:val="-15"/>
                <w:sz w:val="21"/>
                <w:szCs w:val="21"/>
                <w:highlight w:val="none"/>
              </w:rPr>
              <w:t>要求</w:t>
            </w:r>
          </w:p>
        </w:tc>
        <w:tc>
          <w:tcPr>
            <w:tcW w:w="3261" w:type="dxa"/>
            <w:tcBorders>
              <w:left w:val="single" w:color="auto" w:sz="4" w:space="0"/>
              <w:right w:val="single" w:color="auto" w:sz="4" w:space="0"/>
            </w:tcBorders>
            <w:shd w:val="clear" w:color="auto" w:fill="auto"/>
            <w:vAlign w:val="center"/>
          </w:tcPr>
          <w:p w14:paraId="0D2E9577">
            <w:pPr>
              <w:pStyle w:val="25"/>
              <w:keepNext w:val="0"/>
              <w:keepLines w:val="0"/>
              <w:pageBreakBefore w:val="0"/>
              <w:widowControl w:val="0"/>
              <w:kinsoku/>
              <w:wordWrap/>
              <w:overflowPunct/>
              <w:topLinePunct w:val="0"/>
              <w:autoSpaceDE w:val="0"/>
              <w:autoSpaceDN w:val="0"/>
              <w:bidi w:val="0"/>
              <w:adjustRightInd/>
              <w:snapToGrid/>
              <w:spacing w:before="184" w:line="360" w:lineRule="auto"/>
              <w:ind w:right="283" w:firstLine="210" w:firstLineChars="100"/>
              <w:textAlignment w:val="auto"/>
              <w:rPr>
                <w:sz w:val="21"/>
                <w:szCs w:val="21"/>
                <w:highlight w:val="none"/>
              </w:rPr>
            </w:pPr>
            <w:r>
              <w:rPr>
                <w:sz w:val="21"/>
                <w:szCs w:val="21"/>
                <w:highlight w:val="none"/>
              </w:rPr>
              <w:t>详见第六章响应文件格式</w:t>
            </w:r>
          </w:p>
        </w:tc>
      </w:tr>
      <w:tr w14:paraId="2371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5A3041D8">
            <w:pPr>
              <w:pStyle w:val="25"/>
              <w:spacing w:before="9" w:line="360" w:lineRule="auto"/>
              <w:jc w:val="center"/>
              <w:rPr>
                <w:sz w:val="21"/>
                <w:szCs w:val="21"/>
                <w:highlight w:val="none"/>
              </w:rPr>
            </w:pPr>
          </w:p>
          <w:p w14:paraId="50BF15D9">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6</w:t>
            </w:r>
          </w:p>
        </w:tc>
        <w:tc>
          <w:tcPr>
            <w:tcW w:w="2127" w:type="dxa"/>
            <w:shd w:val="clear" w:color="auto" w:fill="auto"/>
            <w:vAlign w:val="center"/>
          </w:tcPr>
          <w:p w14:paraId="7C4F5275">
            <w:pPr>
              <w:pStyle w:val="25"/>
              <w:spacing w:line="360" w:lineRule="auto"/>
              <w:ind w:right="74"/>
              <w:jc w:val="center"/>
              <w:rPr>
                <w:sz w:val="21"/>
                <w:szCs w:val="21"/>
                <w:highlight w:val="none"/>
                <w:lang w:eastAsia="en-US"/>
              </w:rPr>
            </w:pPr>
            <w:r>
              <w:rPr>
                <w:sz w:val="21"/>
                <w:szCs w:val="21"/>
                <w:highlight w:val="none"/>
                <w:lang w:eastAsia="en-US"/>
              </w:rPr>
              <w:t>商务响应情况</w:t>
            </w:r>
          </w:p>
        </w:tc>
        <w:tc>
          <w:tcPr>
            <w:tcW w:w="2393" w:type="dxa"/>
            <w:tcBorders>
              <w:right w:val="single" w:color="auto" w:sz="4" w:space="0"/>
            </w:tcBorders>
            <w:shd w:val="clear" w:color="auto" w:fill="auto"/>
            <w:vAlign w:val="center"/>
          </w:tcPr>
          <w:p w14:paraId="34FCAE12">
            <w:pPr>
              <w:pStyle w:val="25"/>
              <w:spacing w:line="360" w:lineRule="auto"/>
              <w:ind w:left="105" w:right="83"/>
              <w:jc w:val="center"/>
              <w:rPr>
                <w:sz w:val="21"/>
                <w:szCs w:val="21"/>
                <w:highlight w:val="none"/>
              </w:rPr>
            </w:pPr>
            <w:r>
              <w:rPr>
                <w:sz w:val="21"/>
                <w:szCs w:val="21"/>
                <w:highlight w:val="none"/>
              </w:rPr>
              <w:t>符合</w:t>
            </w:r>
            <w:r>
              <w:rPr>
                <w:rFonts w:hint="eastAsia"/>
                <w:sz w:val="21"/>
                <w:szCs w:val="21"/>
                <w:highlight w:val="none"/>
                <w:lang w:eastAsia="zh-CN"/>
              </w:rPr>
              <w:t>谈判</w:t>
            </w:r>
            <w:r>
              <w:rPr>
                <w:sz w:val="21"/>
                <w:szCs w:val="21"/>
                <w:highlight w:val="none"/>
              </w:rPr>
              <w:t>文件要求</w:t>
            </w:r>
          </w:p>
        </w:tc>
        <w:tc>
          <w:tcPr>
            <w:tcW w:w="3261" w:type="dxa"/>
            <w:tcBorders>
              <w:left w:val="single" w:color="auto" w:sz="4" w:space="0"/>
              <w:right w:val="single" w:color="auto" w:sz="4" w:space="0"/>
            </w:tcBorders>
            <w:shd w:val="clear" w:color="auto" w:fill="auto"/>
            <w:vAlign w:val="center"/>
          </w:tcPr>
          <w:p w14:paraId="668AB212">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6FB6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54D015F4">
            <w:pPr>
              <w:pStyle w:val="25"/>
              <w:spacing w:line="360" w:lineRule="auto"/>
              <w:jc w:val="center"/>
              <w:rPr>
                <w:sz w:val="21"/>
                <w:szCs w:val="21"/>
                <w:highlight w:val="none"/>
              </w:rPr>
            </w:pPr>
          </w:p>
          <w:p w14:paraId="739EA34D">
            <w:pPr>
              <w:pStyle w:val="25"/>
              <w:spacing w:before="7" w:line="360" w:lineRule="auto"/>
              <w:jc w:val="center"/>
              <w:rPr>
                <w:sz w:val="21"/>
                <w:szCs w:val="21"/>
                <w:highlight w:val="none"/>
              </w:rPr>
            </w:pPr>
          </w:p>
          <w:p w14:paraId="73F30F07">
            <w:pPr>
              <w:pStyle w:val="25"/>
              <w:spacing w:line="360" w:lineRule="auto"/>
              <w:ind w:right="83"/>
              <w:jc w:val="center"/>
              <w:rPr>
                <w:rFonts w:hint="default" w:eastAsia="宋体"/>
                <w:sz w:val="21"/>
                <w:szCs w:val="21"/>
                <w:highlight w:val="none"/>
                <w:lang w:val="en-US" w:eastAsia="zh-CN"/>
              </w:rPr>
            </w:pPr>
            <w:r>
              <w:rPr>
                <w:rFonts w:hint="eastAsia"/>
                <w:sz w:val="21"/>
                <w:szCs w:val="21"/>
                <w:highlight w:val="none"/>
                <w:lang w:val="en-US" w:eastAsia="zh-CN"/>
              </w:rPr>
              <w:t>7</w:t>
            </w:r>
          </w:p>
        </w:tc>
        <w:tc>
          <w:tcPr>
            <w:tcW w:w="2127" w:type="dxa"/>
            <w:shd w:val="clear" w:color="auto" w:fill="auto"/>
            <w:vAlign w:val="center"/>
          </w:tcPr>
          <w:p w14:paraId="26F988CF">
            <w:pPr>
              <w:pStyle w:val="25"/>
              <w:spacing w:line="360" w:lineRule="auto"/>
              <w:jc w:val="center"/>
              <w:rPr>
                <w:sz w:val="21"/>
                <w:szCs w:val="21"/>
                <w:highlight w:val="none"/>
                <w:lang w:eastAsia="en-US"/>
              </w:rPr>
            </w:pPr>
          </w:p>
          <w:p w14:paraId="7CC7A50A">
            <w:pPr>
              <w:pStyle w:val="25"/>
              <w:spacing w:before="8" w:line="360" w:lineRule="auto"/>
              <w:jc w:val="center"/>
              <w:rPr>
                <w:sz w:val="21"/>
                <w:szCs w:val="21"/>
                <w:highlight w:val="none"/>
                <w:lang w:eastAsia="en-US"/>
              </w:rPr>
            </w:pPr>
          </w:p>
          <w:p w14:paraId="720495FD">
            <w:pPr>
              <w:pStyle w:val="25"/>
              <w:spacing w:line="360" w:lineRule="auto"/>
              <w:ind w:left="107" w:right="91"/>
              <w:jc w:val="center"/>
              <w:rPr>
                <w:sz w:val="21"/>
                <w:szCs w:val="21"/>
                <w:highlight w:val="none"/>
                <w:lang w:eastAsia="en-US"/>
              </w:rPr>
            </w:pPr>
            <w:r>
              <w:rPr>
                <w:sz w:val="21"/>
                <w:szCs w:val="21"/>
                <w:highlight w:val="none"/>
                <w:lang w:eastAsia="en-US"/>
              </w:rPr>
              <w:t>其他要求</w:t>
            </w:r>
          </w:p>
        </w:tc>
        <w:tc>
          <w:tcPr>
            <w:tcW w:w="2393" w:type="dxa"/>
            <w:tcBorders>
              <w:right w:val="single" w:color="000000" w:sz="6" w:space="0"/>
            </w:tcBorders>
            <w:shd w:val="clear" w:color="auto" w:fill="auto"/>
            <w:vAlign w:val="center"/>
          </w:tcPr>
          <w:p w14:paraId="2E58B9C1">
            <w:pPr>
              <w:pStyle w:val="25"/>
              <w:spacing w:line="360" w:lineRule="auto"/>
              <w:ind w:left="105" w:right="83"/>
              <w:jc w:val="center"/>
              <w:rPr>
                <w:sz w:val="21"/>
                <w:szCs w:val="21"/>
                <w:highlight w:val="none"/>
              </w:rPr>
            </w:pPr>
            <w:r>
              <w:rPr>
                <w:spacing w:val="-16"/>
                <w:sz w:val="21"/>
                <w:szCs w:val="21"/>
                <w:highlight w:val="none"/>
              </w:rPr>
              <w:t>符合法律、行政法规</w:t>
            </w:r>
            <w:r>
              <w:rPr>
                <w:sz w:val="21"/>
                <w:szCs w:val="21"/>
                <w:highlight w:val="none"/>
              </w:rPr>
              <w:t>规定的其他条件或</w:t>
            </w:r>
            <w:r>
              <w:rPr>
                <w:rFonts w:hint="eastAsia"/>
                <w:sz w:val="21"/>
                <w:szCs w:val="21"/>
                <w:highlight w:val="none"/>
                <w:lang w:eastAsia="zh-CN"/>
              </w:rPr>
              <w:t>谈判</w:t>
            </w:r>
            <w:r>
              <w:rPr>
                <w:sz w:val="21"/>
                <w:szCs w:val="21"/>
                <w:highlight w:val="none"/>
              </w:rPr>
              <w:t>文件列明的其他要求</w:t>
            </w:r>
          </w:p>
        </w:tc>
        <w:tc>
          <w:tcPr>
            <w:tcW w:w="3261" w:type="dxa"/>
            <w:tcBorders>
              <w:top w:val="single" w:color="auto" w:sz="4" w:space="0"/>
              <w:left w:val="single" w:color="000000" w:sz="6" w:space="0"/>
            </w:tcBorders>
            <w:shd w:val="clear" w:color="auto" w:fill="auto"/>
            <w:vAlign w:val="center"/>
          </w:tcPr>
          <w:p w14:paraId="556B2BDF">
            <w:pPr>
              <w:pStyle w:val="25"/>
              <w:spacing w:line="360" w:lineRule="auto"/>
              <w:rPr>
                <w:sz w:val="21"/>
                <w:szCs w:val="21"/>
                <w:highlight w:val="none"/>
              </w:rPr>
            </w:pPr>
            <w:r>
              <w:rPr>
                <w:rFonts w:hint="eastAsia"/>
                <w:sz w:val="21"/>
                <w:szCs w:val="21"/>
                <w:highlight w:val="none"/>
              </w:rPr>
              <w:t xml:space="preserve">    </w:t>
            </w:r>
          </w:p>
        </w:tc>
      </w:tr>
    </w:tbl>
    <w:p w14:paraId="0929DD85">
      <w:pPr>
        <w:shd w:val="clear"/>
        <w:spacing w:line="360" w:lineRule="auto"/>
        <w:ind w:firstLine="435"/>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14:paraId="68C9F434">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供应商必须通过初审表中的全部评审指标。</w:t>
      </w:r>
    </w:p>
    <w:p w14:paraId="32A459D7">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异常低价</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审查</w:t>
      </w:r>
    </w:p>
    <w:tbl>
      <w:tblPr>
        <w:tblStyle w:val="17"/>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535"/>
        <w:gridCol w:w="4698"/>
        <w:gridCol w:w="2392"/>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序号</w:t>
            </w:r>
          </w:p>
        </w:tc>
        <w:tc>
          <w:tcPr>
            <w:tcW w:w="1450" w:type="dxa"/>
            <w:tcBorders>
              <w:bottom w:val="single" w:color="auto" w:sz="4" w:space="0"/>
            </w:tcBorders>
            <w:vAlign w:val="center"/>
          </w:tcPr>
          <w:p w14:paraId="242D7536">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评审指标</w:t>
            </w:r>
          </w:p>
        </w:tc>
        <w:tc>
          <w:tcPr>
            <w:tcW w:w="4439" w:type="dxa"/>
            <w:tcBorders>
              <w:bottom w:val="single" w:color="auto" w:sz="4" w:space="0"/>
            </w:tcBorders>
            <w:vAlign w:val="center"/>
          </w:tcPr>
          <w:p w14:paraId="63EC8315">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评审标准</w:t>
            </w:r>
          </w:p>
        </w:tc>
        <w:tc>
          <w:tcPr>
            <w:tcW w:w="2260" w:type="dxa"/>
            <w:tcBorders>
              <w:bottom w:val="single" w:color="auto" w:sz="4" w:space="0"/>
            </w:tcBorders>
            <w:vAlign w:val="center"/>
          </w:tcPr>
          <w:p w14:paraId="39E809DA">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05" w:type="dxa"/>
            <w:tcBorders>
              <w:bottom w:val="single" w:color="auto" w:sz="4" w:space="0"/>
            </w:tcBorders>
            <w:vAlign w:val="center"/>
          </w:tcPr>
          <w:p w14:paraId="53262601">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（1）报价＜全部通过初审供应商响应报价平均值×</w:t>
            </w:r>
            <w:permStart w:id="2" w:edGrp="everyone"/>
            <w:r>
              <w:rPr>
                <w:rFonts w:hint="eastAsia" w:ascii="宋体" w:hAnsi="宋体" w:eastAsia="宋体" w:cs="宋体"/>
                <w:color w:val="auto"/>
                <w:sz w:val="24"/>
                <w:highlight w:val="none"/>
                <w:lang w:val="en-US" w:eastAsia="zh-CN"/>
              </w:rPr>
              <w:t>50%</w:t>
            </w:r>
            <w:permEnd w:id="2"/>
            <w:r>
              <w:rPr>
                <w:rFonts w:hint="eastAsia" w:ascii="宋体" w:hAnsi="宋体" w:eastAsia="宋体" w:cs="宋体"/>
                <w:color w:val="auto"/>
                <w:sz w:val="24"/>
                <w:highlight w:val="none"/>
                <w:lang w:val="en-US" w:eastAsia="zh-CN"/>
              </w:rPr>
              <w:t>；</w:t>
            </w:r>
          </w:p>
          <w:p w14:paraId="12D6E1A2">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（2）报价＜通过初审的次低报价供应商响应报价×</w:t>
            </w:r>
            <w:permStart w:id="3" w:edGrp="everyone"/>
            <w:r>
              <w:rPr>
                <w:rFonts w:hint="eastAsia" w:ascii="宋体" w:hAnsi="宋体" w:eastAsia="宋体" w:cs="宋体"/>
                <w:color w:val="auto"/>
                <w:sz w:val="24"/>
                <w:highlight w:val="none"/>
                <w:lang w:val="en-US" w:eastAsia="zh-CN"/>
              </w:rPr>
              <w:t>50%</w:t>
            </w:r>
            <w:permEnd w:id="3"/>
            <w:r>
              <w:rPr>
                <w:rFonts w:hint="eastAsia" w:ascii="宋体" w:hAnsi="宋体" w:eastAsia="宋体" w:cs="宋体"/>
                <w:color w:val="auto"/>
                <w:sz w:val="24"/>
                <w:highlight w:val="none"/>
                <w:lang w:val="en-US" w:eastAsia="zh-CN"/>
              </w:rPr>
              <w:t>；</w:t>
            </w:r>
          </w:p>
          <w:p w14:paraId="595C90C5">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（3）报价＜采购项目最高限价（如采购项目未设定最高限价的，以采购项目预算金额作为最高限价）×</w:t>
            </w:r>
            <w:permStart w:id="4" w:edGrp="everyone"/>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5%</w:t>
            </w:r>
            <w:permEnd w:id="4"/>
            <w:r>
              <w:rPr>
                <w:rFonts w:hint="eastAsia" w:ascii="宋体" w:hAnsi="宋体" w:eastAsia="宋体" w:cs="宋体"/>
                <w:color w:val="auto"/>
                <w:sz w:val="24"/>
                <w:highlight w:val="none"/>
                <w:lang w:val="en-US" w:eastAsia="zh-CN"/>
              </w:rPr>
              <w:t>；</w:t>
            </w:r>
          </w:p>
          <w:p w14:paraId="6545F9B4">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（4）谈判小组基于专业判断，认为供应商报价过低，有可能影响产品质量或者不能诚信履约的其他情形。</w:t>
            </w:r>
          </w:p>
          <w:p w14:paraId="14FCFEF9">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提醒：</w:t>
            </w:r>
          </w:p>
          <w:p w14:paraId="0BE4D07D">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73304083">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（2）上述报价均为供应商最后报价。</w:t>
            </w:r>
          </w:p>
        </w:tc>
        <w:tc>
          <w:tcPr>
            <w:tcW w:w="2260" w:type="dxa"/>
            <w:vAlign w:val="center"/>
          </w:tcPr>
          <w:p w14:paraId="4F4E35CC">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p w14:paraId="57170614">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根据《关于推进解决政府采购异常低价问题的通知》（财库〔2026〕2号），采购人可以结合具体项目实际情况，提高上述评审标准第（1）项至第（3）项中的数值标准，但是最高不得超过65%。</w:t>
      </w:r>
    </w:p>
    <w:p w14:paraId="153DDD6B">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谈判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0B411230">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 </w:t>
      </w:r>
    </w:p>
    <w:p w14:paraId="5E1EB79E">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p>
    <w:p w14:paraId="7E2C3F4D">
      <w:pPr>
        <w:pStyle w:val="10"/>
        <w:rPr>
          <w:rFonts w:hint="eastAsia" w:ascii="宋体" w:hAnsi="宋体" w:eastAsia="宋体" w:cs="宋体"/>
          <w:color w:val="auto"/>
          <w:sz w:val="24"/>
          <w:highlight w:val="none"/>
          <w:lang w:val="en-US" w:eastAsia="zh-CN"/>
        </w:rPr>
      </w:pPr>
    </w:p>
    <w:p w14:paraId="6212C9A1">
      <w:pPr>
        <w:pStyle w:val="10"/>
        <w:rPr>
          <w:rFonts w:hint="eastAsia" w:ascii="宋体" w:hAnsi="宋体" w:eastAsia="宋体" w:cs="宋体"/>
          <w:color w:val="auto"/>
          <w:sz w:val="24"/>
          <w:highlight w:val="none"/>
          <w:lang w:val="en-US" w:eastAsia="zh-CN"/>
        </w:rPr>
      </w:pPr>
    </w:p>
    <w:p w14:paraId="1979BA94">
      <w:pPr>
        <w:pStyle w:val="10"/>
        <w:rPr>
          <w:rFonts w:hint="eastAsia" w:ascii="宋体" w:hAnsi="宋体" w:eastAsia="宋体" w:cs="宋体"/>
          <w:color w:val="auto"/>
          <w:sz w:val="24"/>
          <w:highlight w:val="none"/>
          <w:lang w:val="en-US" w:eastAsia="zh-CN"/>
        </w:rPr>
      </w:pPr>
    </w:p>
    <w:p w14:paraId="2E26CC47">
      <w:pPr>
        <w:pStyle w:val="10"/>
        <w:rPr>
          <w:rFonts w:hint="eastAsia" w:ascii="宋体" w:hAnsi="宋体" w:eastAsia="宋体" w:cs="宋体"/>
          <w:color w:val="auto"/>
          <w:sz w:val="24"/>
          <w:highlight w:val="none"/>
          <w:lang w:val="en-US" w:eastAsia="zh-CN"/>
        </w:rPr>
      </w:pPr>
    </w:p>
    <w:p w14:paraId="6D7A1931">
      <w:pPr>
        <w:pStyle w:val="10"/>
        <w:rPr>
          <w:rFonts w:hint="eastAsia" w:ascii="宋体" w:hAnsi="宋体" w:eastAsia="宋体" w:cs="宋体"/>
          <w:color w:val="auto"/>
          <w:sz w:val="24"/>
          <w:highlight w:val="none"/>
          <w:lang w:val="en-US" w:eastAsia="zh-CN"/>
        </w:rPr>
      </w:pPr>
    </w:p>
    <w:p w14:paraId="2924F8B4">
      <w:pPr>
        <w:pStyle w:val="10"/>
        <w:rPr>
          <w:rFonts w:hint="eastAsia" w:ascii="宋体" w:hAnsi="宋体" w:eastAsia="宋体" w:cs="宋体"/>
          <w:color w:val="auto"/>
          <w:sz w:val="24"/>
          <w:highlight w:val="none"/>
          <w:lang w:val="en-US" w:eastAsia="zh-CN"/>
        </w:rPr>
      </w:pPr>
    </w:p>
    <w:p w14:paraId="6A0BD4DD">
      <w:pPr>
        <w:pStyle w:val="10"/>
        <w:rPr>
          <w:rFonts w:hint="eastAsia" w:ascii="宋体" w:hAnsi="宋体" w:eastAsia="宋体" w:cs="宋体"/>
          <w:color w:val="auto"/>
          <w:sz w:val="24"/>
          <w:highlight w:val="none"/>
          <w:lang w:val="en-US" w:eastAsia="zh-CN"/>
        </w:rPr>
      </w:pPr>
    </w:p>
    <w:p w14:paraId="6993F49C">
      <w:pPr>
        <w:pStyle w:val="10"/>
        <w:rPr>
          <w:rFonts w:hint="eastAsia" w:ascii="宋体" w:hAnsi="宋体" w:eastAsia="宋体" w:cs="宋体"/>
          <w:color w:val="auto"/>
          <w:sz w:val="24"/>
          <w:highlight w:val="none"/>
          <w:lang w:val="en-US" w:eastAsia="zh-CN"/>
        </w:rPr>
      </w:pPr>
    </w:p>
    <w:p w14:paraId="6DA06443">
      <w:pPr>
        <w:pStyle w:val="10"/>
        <w:rPr>
          <w:rFonts w:hint="eastAsia" w:ascii="宋体" w:hAnsi="宋体" w:eastAsia="宋体" w:cs="宋体"/>
          <w:color w:val="auto"/>
          <w:sz w:val="24"/>
          <w:highlight w:val="none"/>
          <w:lang w:val="en-US" w:eastAsia="zh-CN"/>
        </w:rPr>
      </w:pPr>
    </w:p>
    <w:p w14:paraId="5BF834AB">
      <w:pPr>
        <w:pStyle w:val="10"/>
        <w:rPr>
          <w:rFonts w:hint="eastAsia" w:ascii="宋体" w:hAnsi="宋体" w:eastAsia="宋体" w:cs="宋体"/>
          <w:color w:val="auto"/>
          <w:sz w:val="24"/>
          <w:highlight w:val="none"/>
          <w:lang w:val="en-US" w:eastAsia="zh-CN"/>
        </w:rPr>
      </w:pPr>
    </w:p>
    <w:p w14:paraId="530B9FC5">
      <w:pPr>
        <w:pStyle w:val="10"/>
        <w:rPr>
          <w:rFonts w:hint="eastAsia" w:ascii="宋体" w:hAnsi="宋体" w:eastAsia="宋体" w:cs="宋体"/>
          <w:color w:val="auto"/>
          <w:sz w:val="24"/>
          <w:highlight w:val="none"/>
          <w:lang w:val="en-US" w:eastAsia="zh-CN"/>
        </w:rPr>
      </w:pPr>
    </w:p>
    <w:p w14:paraId="031794FF">
      <w:pPr>
        <w:pStyle w:val="10"/>
        <w:rPr>
          <w:rFonts w:hint="eastAsia" w:ascii="宋体" w:hAnsi="宋体" w:eastAsia="宋体" w:cs="宋体"/>
          <w:color w:val="auto"/>
          <w:sz w:val="24"/>
          <w:highlight w:val="none"/>
          <w:lang w:val="en-US" w:eastAsia="zh-CN"/>
        </w:rPr>
      </w:pPr>
    </w:p>
    <w:p w14:paraId="3DD58185">
      <w:pPr>
        <w:pStyle w:val="10"/>
        <w:rPr>
          <w:rFonts w:hint="eastAsia" w:ascii="宋体" w:hAnsi="宋体" w:eastAsia="宋体" w:cs="宋体"/>
          <w:color w:val="auto"/>
          <w:sz w:val="24"/>
          <w:highlight w:val="none"/>
          <w:lang w:val="en-US" w:eastAsia="zh-CN"/>
        </w:rPr>
      </w:pPr>
    </w:p>
    <w:p w14:paraId="11A38371">
      <w:pPr>
        <w:pStyle w:val="10"/>
        <w:rPr>
          <w:rFonts w:hint="eastAsia" w:ascii="宋体" w:hAnsi="宋体" w:eastAsia="宋体" w:cs="宋体"/>
          <w:color w:val="auto"/>
          <w:sz w:val="24"/>
          <w:highlight w:val="none"/>
          <w:lang w:val="en-US" w:eastAsia="zh-CN"/>
        </w:rPr>
      </w:pPr>
    </w:p>
    <w:p w14:paraId="3727B2DB">
      <w:pPr>
        <w:pStyle w:val="10"/>
        <w:rPr>
          <w:rFonts w:hint="eastAsia" w:ascii="宋体" w:hAnsi="宋体" w:eastAsia="宋体" w:cs="宋体"/>
          <w:color w:val="auto"/>
          <w:sz w:val="24"/>
          <w:highlight w:val="none"/>
          <w:lang w:val="en-US" w:eastAsia="zh-CN"/>
        </w:rPr>
      </w:pPr>
    </w:p>
    <w:p w14:paraId="1086E844">
      <w:pPr>
        <w:pStyle w:val="10"/>
        <w:rPr>
          <w:rFonts w:hint="eastAsia" w:ascii="宋体" w:hAnsi="宋体" w:eastAsia="宋体" w:cs="宋体"/>
          <w:color w:val="auto"/>
          <w:sz w:val="24"/>
          <w:highlight w:val="none"/>
          <w:lang w:val="en-US" w:eastAsia="zh-CN"/>
        </w:rPr>
      </w:pPr>
    </w:p>
    <w:p w14:paraId="60994051">
      <w:pPr>
        <w:pStyle w:val="10"/>
        <w:rPr>
          <w:rFonts w:hint="eastAsia" w:ascii="宋体" w:hAnsi="宋体" w:eastAsia="宋体" w:cs="宋体"/>
          <w:color w:val="auto"/>
          <w:sz w:val="24"/>
          <w:highlight w:val="none"/>
          <w:lang w:val="en-US" w:eastAsia="zh-CN"/>
        </w:rPr>
      </w:pPr>
    </w:p>
    <w:p w14:paraId="7DB0E0B1">
      <w:pPr>
        <w:pStyle w:val="10"/>
        <w:rPr>
          <w:rFonts w:hint="eastAsia" w:ascii="宋体" w:hAnsi="宋体" w:eastAsia="宋体" w:cs="宋体"/>
          <w:color w:val="auto"/>
          <w:sz w:val="24"/>
          <w:highlight w:val="none"/>
          <w:lang w:val="en-US" w:eastAsia="zh-CN"/>
        </w:rPr>
      </w:pPr>
    </w:p>
    <w:p w14:paraId="7654D407">
      <w:pPr>
        <w:pStyle w:val="10"/>
        <w:rPr>
          <w:rFonts w:hint="eastAsia" w:ascii="宋体" w:hAnsi="宋体" w:eastAsia="宋体" w:cs="宋体"/>
          <w:color w:val="auto"/>
          <w:sz w:val="24"/>
          <w:highlight w:val="none"/>
          <w:lang w:val="en-US" w:eastAsia="zh-CN"/>
        </w:rPr>
      </w:pPr>
    </w:p>
    <w:p w14:paraId="38DBEAF1">
      <w:pPr>
        <w:pStyle w:val="10"/>
        <w:rPr>
          <w:rFonts w:hint="eastAsia" w:ascii="宋体" w:hAnsi="宋体" w:eastAsia="宋体" w:cs="宋体"/>
          <w:color w:val="auto"/>
          <w:sz w:val="24"/>
          <w:highlight w:val="none"/>
          <w:lang w:val="en-US" w:eastAsia="zh-CN"/>
        </w:rPr>
      </w:pPr>
    </w:p>
    <w:p w14:paraId="13368AD3">
      <w:pPr>
        <w:pStyle w:val="10"/>
        <w:rPr>
          <w:rFonts w:hint="eastAsia" w:ascii="宋体" w:hAnsi="宋体" w:eastAsia="宋体" w:cs="宋体"/>
          <w:color w:val="auto"/>
          <w:sz w:val="24"/>
          <w:highlight w:val="none"/>
          <w:lang w:val="en-US" w:eastAsia="zh-CN"/>
        </w:rPr>
      </w:pPr>
    </w:p>
    <w:p w14:paraId="13470E0B">
      <w:pPr>
        <w:pStyle w:val="10"/>
        <w:rPr>
          <w:rFonts w:hint="eastAsia" w:ascii="宋体" w:hAnsi="宋体" w:eastAsia="宋体" w:cs="宋体"/>
          <w:color w:val="auto"/>
          <w:sz w:val="24"/>
          <w:highlight w:val="none"/>
          <w:lang w:val="en-US" w:eastAsia="zh-CN"/>
        </w:rPr>
      </w:pPr>
    </w:p>
    <w:p w14:paraId="2B932B6C">
      <w:pPr>
        <w:pStyle w:val="10"/>
        <w:rPr>
          <w:rFonts w:hint="eastAsia" w:ascii="宋体" w:hAnsi="宋体" w:eastAsia="宋体" w:cs="宋体"/>
          <w:color w:val="auto"/>
          <w:sz w:val="24"/>
          <w:highlight w:val="none"/>
          <w:lang w:val="en-US" w:eastAsia="zh-CN"/>
        </w:rPr>
      </w:pPr>
    </w:p>
    <w:p w14:paraId="62C02441">
      <w:pPr>
        <w:pStyle w:val="10"/>
        <w:rPr>
          <w:rFonts w:hint="eastAsia" w:ascii="宋体" w:hAnsi="宋体" w:eastAsia="宋体" w:cs="宋体"/>
          <w:color w:val="auto"/>
          <w:sz w:val="24"/>
          <w:highlight w:val="none"/>
          <w:lang w:val="en-US" w:eastAsia="zh-CN"/>
        </w:rPr>
      </w:pPr>
    </w:p>
    <w:p w14:paraId="1C13614A">
      <w:pPr>
        <w:pStyle w:val="10"/>
        <w:rPr>
          <w:rFonts w:hint="eastAsia" w:ascii="宋体" w:hAnsi="宋体" w:eastAsia="宋体" w:cs="宋体"/>
          <w:color w:val="auto"/>
          <w:sz w:val="24"/>
          <w:highlight w:val="none"/>
          <w:lang w:val="en-US" w:eastAsia="zh-CN"/>
        </w:rPr>
      </w:pPr>
    </w:p>
    <w:p w14:paraId="6FF0B690">
      <w:pPr>
        <w:pStyle w:val="10"/>
        <w:rPr>
          <w:rFonts w:hint="eastAsia" w:ascii="宋体" w:hAnsi="宋体" w:eastAsia="宋体" w:cs="宋体"/>
          <w:color w:val="auto"/>
          <w:sz w:val="24"/>
          <w:highlight w:val="none"/>
          <w:lang w:val="en-US" w:eastAsia="zh-CN"/>
        </w:rPr>
      </w:pPr>
    </w:p>
    <w:p w14:paraId="7CEAE01E">
      <w:pPr>
        <w:pStyle w:val="10"/>
        <w:rPr>
          <w:rFonts w:hint="eastAsia" w:ascii="宋体" w:hAnsi="宋体" w:eastAsia="宋体" w:cs="宋体"/>
          <w:color w:val="auto"/>
          <w:sz w:val="24"/>
          <w:highlight w:val="none"/>
          <w:lang w:val="en-US" w:eastAsia="zh-CN"/>
        </w:rPr>
      </w:pPr>
    </w:p>
    <w:p w14:paraId="5A4BC6A4">
      <w:pPr>
        <w:pStyle w:val="10"/>
        <w:rPr>
          <w:rFonts w:hint="eastAsia" w:ascii="宋体" w:hAnsi="宋体" w:eastAsia="宋体" w:cs="宋体"/>
          <w:color w:val="auto"/>
          <w:sz w:val="24"/>
          <w:highlight w:val="none"/>
          <w:lang w:val="en-US" w:eastAsia="zh-CN"/>
        </w:rPr>
      </w:pPr>
    </w:p>
    <w:p w14:paraId="06213959">
      <w:pPr>
        <w:pStyle w:val="10"/>
        <w:rPr>
          <w:rFonts w:hint="eastAsia" w:ascii="宋体" w:hAnsi="宋体" w:eastAsia="宋体" w:cs="宋体"/>
          <w:color w:val="auto"/>
          <w:sz w:val="24"/>
          <w:highlight w:val="none"/>
          <w:lang w:val="en-US" w:eastAsia="zh-CN"/>
        </w:rPr>
      </w:pPr>
    </w:p>
    <w:p w14:paraId="0E7B2C4F">
      <w:pPr>
        <w:pStyle w:val="10"/>
        <w:rPr>
          <w:rFonts w:hint="eastAsia" w:ascii="宋体" w:hAnsi="宋体" w:eastAsia="宋体" w:cs="宋体"/>
          <w:color w:val="auto"/>
          <w:sz w:val="24"/>
          <w:highlight w:val="none"/>
          <w:lang w:val="en-US" w:eastAsia="zh-CN"/>
        </w:rPr>
      </w:pPr>
    </w:p>
    <w:p w14:paraId="37B8872E">
      <w:pPr>
        <w:pStyle w:val="5"/>
        <w:numPr>
          <w:ilvl w:val="0"/>
          <w:numId w:val="0"/>
        </w:numPr>
        <w:tabs>
          <w:tab w:val="left" w:pos="0"/>
        </w:tabs>
        <w:autoSpaceDE w:val="0"/>
        <w:autoSpaceDN w:val="0"/>
        <w:adjustRightInd w:val="0"/>
        <w:spacing w:before="0" w:after="0" w:line="360" w:lineRule="auto"/>
        <w:jc w:val="center"/>
        <w:rPr>
          <w:rFonts w:hint="eastAsia" w:ascii="宋体" w:hAnsi="宋体" w:eastAsia="宋体" w:cs="Times New Roman"/>
          <w:b/>
          <w:bCs/>
          <w:kern w:val="44"/>
          <w:sz w:val="32"/>
          <w:szCs w:val="32"/>
          <w:lang w:val="en-US" w:eastAsia="zh-CN" w:bidi="ar-SA"/>
        </w:rPr>
      </w:pPr>
      <w:bookmarkStart w:id="158" w:name="_Toc30352"/>
    </w:p>
    <w:p w14:paraId="0E30EB3D">
      <w:pPr>
        <w:pStyle w:val="5"/>
        <w:numPr>
          <w:ilvl w:val="0"/>
          <w:numId w:val="0"/>
        </w:numPr>
        <w:tabs>
          <w:tab w:val="left" w:pos="0"/>
        </w:tabs>
        <w:autoSpaceDE w:val="0"/>
        <w:autoSpaceDN w:val="0"/>
        <w:adjustRightInd w:val="0"/>
        <w:spacing w:before="0" w:after="0" w:line="360" w:lineRule="auto"/>
        <w:jc w:val="center"/>
        <w:rPr>
          <w:rFonts w:hint="eastAsia" w:ascii="宋体" w:hAnsi="宋体" w:eastAsia="宋体" w:cs="Times New Roman"/>
          <w:b/>
          <w:bCs/>
          <w:kern w:val="44"/>
          <w:sz w:val="32"/>
          <w:szCs w:val="32"/>
          <w:lang w:val="en-US" w:eastAsia="zh-CN" w:bidi="ar-SA"/>
        </w:rPr>
      </w:pPr>
    </w:p>
    <w:p w14:paraId="5C845A6A">
      <w:pPr>
        <w:pStyle w:val="5"/>
        <w:numPr>
          <w:ilvl w:val="0"/>
          <w:numId w:val="0"/>
        </w:numPr>
        <w:tabs>
          <w:tab w:val="left" w:pos="0"/>
        </w:tabs>
        <w:autoSpaceDE w:val="0"/>
        <w:autoSpaceDN w:val="0"/>
        <w:adjustRightInd w:val="0"/>
        <w:spacing w:before="0" w:after="0" w:line="360" w:lineRule="auto"/>
        <w:jc w:val="center"/>
        <w:rPr>
          <w:rFonts w:hint="eastAsia" w:ascii="宋体" w:hAnsi="宋体"/>
          <w:sz w:val="32"/>
          <w:szCs w:val="32"/>
          <w:highlight w:val="none"/>
        </w:rPr>
      </w:pPr>
      <w:r>
        <w:rPr>
          <w:rFonts w:hint="eastAsia" w:ascii="宋体" w:hAnsi="宋体" w:eastAsia="宋体" w:cs="Times New Roman"/>
          <w:b/>
          <w:bCs/>
          <w:kern w:val="44"/>
          <w:sz w:val="32"/>
          <w:szCs w:val="32"/>
          <w:lang w:val="en-US" w:eastAsia="zh-CN" w:bidi="ar-SA"/>
        </w:rPr>
        <w:t>第五章</w:t>
      </w:r>
      <w:r>
        <w:rPr>
          <w:rFonts w:hint="eastAsia" w:ascii="宋体" w:hAnsi="宋体" w:cs="Times New Roman"/>
          <w:b/>
          <w:bCs/>
          <w:kern w:val="44"/>
          <w:sz w:val="32"/>
          <w:szCs w:val="32"/>
          <w:lang w:val="en-US" w:eastAsia="zh-CN" w:bidi="ar-SA"/>
        </w:rPr>
        <w:t xml:space="preserve"> </w:t>
      </w:r>
      <w:r>
        <w:rPr>
          <w:rFonts w:hint="eastAsia" w:ascii="宋体" w:hAnsi="宋体"/>
          <w:sz w:val="32"/>
          <w:szCs w:val="32"/>
          <w:highlight w:val="none"/>
        </w:rPr>
        <w:t>采购合同</w:t>
      </w:r>
      <w:bookmarkEnd w:id="158"/>
    </w:p>
    <w:p w14:paraId="0E1AA5E2">
      <w:pPr>
        <w:pStyle w:val="10"/>
        <w:rPr>
          <w:b/>
          <w:sz w:val="32"/>
          <w:highlight w:val="none"/>
        </w:rPr>
      </w:pPr>
    </w:p>
    <w:p w14:paraId="1AE15BAC">
      <w:pPr>
        <w:pStyle w:val="10"/>
        <w:spacing w:before="10"/>
        <w:rPr>
          <w:b/>
          <w:sz w:val="32"/>
          <w:highlight w:val="none"/>
        </w:rPr>
      </w:pPr>
    </w:p>
    <w:p w14:paraId="4DE8F564">
      <w:pPr>
        <w:pStyle w:val="7"/>
        <w:spacing w:before="0"/>
        <w:ind w:left="1367" w:right="1503"/>
        <w:jc w:val="center"/>
        <w:rPr>
          <w:sz w:val="21"/>
          <w:szCs w:val="21"/>
          <w:highlight w:val="none"/>
        </w:rPr>
      </w:pPr>
      <w:r>
        <w:rPr>
          <w:spacing w:val="-1"/>
          <w:sz w:val="21"/>
          <w:szCs w:val="21"/>
          <w:highlight w:val="none"/>
        </w:rPr>
        <w:t>第一部分 合同书</w:t>
      </w:r>
    </w:p>
    <w:p w14:paraId="5BAED516">
      <w:pPr>
        <w:pStyle w:val="10"/>
        <w:rPr>
          <w:b/>
          <w:sz w:val="21"/>
          <w:szCs w:val="21"/>
          <w:highlight w:val="none"/>
        </w:rPr>
      </w:pPr>
    </w:p>
    <w:p w14:paraId="50D36BC6">
      <w:pPr>
        <w:pStyle w:val="10"/>
        <w:rPr>
          <w:b/>
          <w:sz w:val="21"/>
          <w:szCs w:val="21"/>
          <w:highlight w:val="none"/>
        </w:rPr>
      </w:pPr>
    </w:p>
    <w:p w14:paraId="0FFB53CE">
      <w:pPr>
        <w:pStyle w:val="10"/>
        <w:rPr>
          <w:b/>
          <w:sz w:val="21"/>
          <w:szCs w:val="21"/>
          <w:highlight w:val="none"/>
        </w:rPr>
      </w:pPr>
    </w:p>
    <w:p w14:paraId="09A1B53D">
      <w:pPr>
        <w:pStyle w:val="10"/>
        <w:rPr>
          <w:b/>
          <w:sz w:val="21"/>
          <w:szCs w:val="21"/>
          <w:highlight w:val="none"/>
        </w:rPr>
      </w:pPr>
    </w:p>
    <w:p w14:paraId="70B2689F">
      <w:pPr>
        <w:pStyle w:val="10"/>
        <w:rPr>
          <w:b/>
          <w:sz w:val="21"/>
          <w:szCs w:val="21"/>
          <w:highlight w:val="none"/>
        </w:rPr>
      </w:pPr>
    </w:p>
    <w:p w14:paraId="21E0867A">
      <w:pPr>
        <w:pStyle w:val="10"/>
        <w:rPr>
          <w:b/>
          <w:sz w:val="21"/>
          <w:szCs w:val="21"/>
          <w:highlight w:val="none"/>
        </w:rPr>
      </w:pPr>
    </w:p>
    <w:p w14:paraId="4ECA9A58">
      <w:pPr>
        <w:pStyle w:val="10"/>
        <w:spacing w:before="5"/>
        <w:rPr>
          <w:b/>
          <w:sz w:val="21"/>
          <w:szCs w:val="21"/>
          <w:highlight w:val="none"/>
        </w:rPr>
      </w:pPr>
    </w:p>
    <w:p w14:paraId="17DD421F">
      <w:pPr>
        <w:spacing w:before="1"/>
        <w:ind w:left="330" w:right="135"/>
        <w:jc w:val="center"/>
        <w:rPr>
          <w:rFonts w:ascii="宋体" w:hAnsi="宋体"/>
          <w:highlight w:val="none"/>
        </w:rPr>
      </w:pPr>
      <w:r>
        <w:rPr>
          <w:rFonts w:ascii="宋体" w:hAnsi="宋体"/>
          <w:highlight w:val="none"/>
        </w:rPr>
        <w:t>项目名称：</w:t>
      </w:r>
      <w:r>
        <w:rPr>
          <w:rFonts w:hint="eastAsia" w:ascii="宋体" w:hAnsi="宋体"/>
          <w:highlight w:val="none"/>
          <w:u w:val="single"/>
        </w:rPr>
        <w:t>：安徽融城高新技术产业发展集团有限公司界首市军用特种服饰生产和研发军民融合示范园项目（一期）检测</w:t>
      </w:r>
      <w:r>
        <w:rPr>
          <w:rFonts w:ascii="宋体" w:hAnsi="宋体"/>
          <w:highlight w:val="none"/>
        </w:rPr>
        <w:t>（分包项目须填写完整的分包号及分包名称）</w:t>
      </w:r>
    </w:p>
    <w:p w14:paraId="6217F2A4">
      <w:pPr>
        <w:pStyle w:val="10"/>
        <w:spacing w:before="8"/>
        <w:rPr>
          <w:sz w:val="21"/>
          <w:szCs w:val="21"/>
          <w:highlight w:val="none"/>
        </w:rPr>
      </w:pPr>
    </w:p>
    <w:p w14:paraId="4DCA2BC5">
      <w:pPr>
        <w:pStyle w:val="10"/>
        <w:spacing w:before="67"/>
        <w:ind w:left="1180" w:firstLine="420" w:firstLineChars="200"/>
        <w:rPr>
          <w:sz w:val="21"/>
          <w:szCs w:val="21"/>
          <w:highlight w:val="none"/>
        </w:rPr>
      </w:pPr>
      <w:r>
        <w:rPr>
          <w:sz w:val="21"/>
          <w:szCs w:val="21"/>
          <w:highlight w:val="none"/>
        </w:rPr>
        <w:t>项目编号：</w:t>
      </w:r>
      <w:r>
        <w:rPr>
          <w:rFonts w:hint="eastAsia"/>
          <w:sz w:val="21"/>
          <w:szCs w:val="21"/>
          <w:highlight w:val="none"/>
          <w:u w:val="single"/>
        </w:rPr>
        <w:t>ZZY-20260518</w:t>
      </w:r>
    </w:p>
    <w:p w14:paraId="4843F122">
      <w:pPr>
        <w:pStyle w:val="10"/>
        <w:spacing w:before="3"/>
        <w:rPr>
          <w:sz w:val="21"/>
          <w:szCs w:val="21"/>
          <w:highlight w:val="none"/>
        </w:rPr>
      </w:pPr>
    </w:p>
    <w:p w14:paraId="0708EE1C">
      <w:pPr>
        <w:pStyle w:val="10"/>
        <w:tabs>
          <w:tab w:val="left" w:pos="6636"/>
        </w:tabs>
        <w:spacing w:before="74"/>
        <w:ind w:left="1180" w:firstLine="420" w:firstLineChars="200"/>
        <w:rPr>
          <w:sz w:val="21"/>
          <w:szCs w:val="21"/>
          <w:highlight w:val="none"/>
        </w:rPr>
      </w:pPr>
      <w:r>
        <w:rPr>
          <w:sz w:val="21"/>
          <w:szCs w:val="21"/>
          <w:highlight w:val="none"/>
        </w:rPr>
        <w:t>甲方（采购人</w:t>
      </w:r>
      <w:r>
        <w:rPr>
          <w:rFonts w:hint="eastAsia"/>
          <w:sz w:val="21"/>
          <w:szCs w:val="21"/>
          <w:highlight w:val="none"/>
          <w:u w:val="none"/>
        </w:rPr>
        <w:t>）：</w:t>
      </w:r>
      <w:r>
        <w:rPr>
          <w:rFonts w:hint="eastAsia"/>
          <w:sz w:val="21"/>
          <w:szCs w:val="21"/>
          <w:highlight w:val="none"/>
          <w:u w:val="single"/>
        </w:rPr>
        <w:t>安徽融城高新技术产业发展集团有限公司</w:t>
      </w:r>
    </w:p>
    <w:p w14:paraId="3A206405">
      <w:pPr>
        <w:pStyle w:val="10"/>
        <w:rPr>
          <w:sz w:val="21"/>
          <w:szCs w:val="21"/>
          <w:highlight w:val="none"/>
        </w:rPr>
      </w:pPr>
    </w:p>
    <w:p w14:paraId="1E3F1A1C">
      <w:pPr>
        <w:pStyle w:val="10"/>
        <w:tabs>
          <w:tab w:val="left" w:pos="6636"/>
        </w:tabs>
        <w:spacing w:before="207"/>
        <w:ind w:left="1180" w:firstLine="420" w:firstLineChars="200"/>
        <w:rPr>
          <w:sz w:val="21"/>
          <w:szCs w:val="21"/>
          <w:highlight w:val="none"/>
        </w:rPr>
      </w:pPr>
      <w:r>
        <w:rPr>
          <w:sz w:val="21"/>
          <w:szCs w:val="21"/>
          <w:highlight w:val="none"/>
        </w:rPr>
        <w:t>乙方（中标人</w:t>
      </w:r>
      <w:r>
        <w:rPr>
          <w:rFonts w:hint="eastAsia"/>
          <w:spacing w:val="-120"/>
          <w:sz w:val="21"/>
          <w:szCs w:val="21"/>
          <w:highlight w:val="none"/>
          <w:lang w:eastAsia="zh-CN"/>
        </w:rPr>
        <w:t>）</w:t>
      </w:r>
      <w:r>
        <w:rPr>
          <w:sz w:val="21"/>
          <w:szCs w:val="21"/>
          <w:highlight w:val="none"/>
          <w:u w:val="none"/>
        </w:rPr>
        <w:t xml:space="preserve"> </w:t>
      </w:r>
      <w:r>
        <w:rPr>
          <w:rFonts w:hint="eastAsia"/>
          <w:sz w:val="21"/>
          <w:szCs w:val="21"/>
          <w:highlight w:val="none"/>
          <w:u w:val="none"/>
          <w:lang w:val="en-US" w:eastAsia="zh-CN"/>
        </w:rPr>
        <w:t xml:space="preserve"> </w:t>
      </w:r>
      <w:r>
        <w:rPr>
          <w:rFonts w:hint="eastAsia"/>
          <w:sz w:val="21"/>
          <w:szCs w:val="21"/>
          <w:highlight w:val="none"/>
          <w:u w:val="none"/>
          <w:lang w:eastAsia="zh-CN"/>
        </w:rPr>
        <w:t>：</w:t>
      </w:r>
      <w:r>
        <w:rPr>
          <w:sz w:val="21"/>
          <w:szCs w:val="21"/>
          <w:highlight w:val="none"/>
          <w:u w:val="single"/>
        </w:rPr>
        <w:tab/>
      </w:r>
    </w:p>
    <w:p w14:paraId="0705AF2B">
      <w:pPr>
        <w:pStyle w:val="10"/>
        <w:rPr>
          <w:sz w:val="21"/>
          <w:szCs w:val="21"/>
          <w:highlight w:val="none"/>
        </w:rPr>
      </w:pPr>
    </w:p>
    <w:p w14:paraId="7CCB4E17">
      <w:pPr>
        <w:pStyle w:val="10"/>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14:paraId="378703DE">
      <w:pPr>
        <w:pStyle w:val="10"/>
        <w:rPr>
          <w:sz w:val="21"/>
          <w:szCs w:val="21"/>
          <w:highlight w:val="none"/>
        </w:rPr>
      </w:pPr>
    </w:p>
    <w:p w14:paraId="343F7068">
      <w:pPr>
        <w:pStyle w:val="10"/>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271D285F">
      <w:pPr>
        <w:rPr>
          <w:rFonts w:ascii="宋体" w:hAnsi="宋体"/>
          <w:highlight w:val="none"/>
        </w:rPr>
        <w:sectPr>
          <w:footerReference r:id="rId3" w:type="default"/>
          <w:pgSz w:w="11910" w:h="16840"/>
          <w:pgMar w:top="1380" w:right="1440" w:bottom="1500" w:left="1580" w:header="877" w:footer="1304" w:gutter="0"/>
          <w:pgNumType w:fmt="decimal" w:start="1"/>
          <w:cols w:space="720" w:num="1"/>
        </w:sectPr>
      </w:pPr>
    </w:p>
    <w:p w14:paraId="6038456E">
      <w:pPr>
        <w:pStyle w:val="10"/>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sz w:val="21"/>
          <w:szCs w:val="21"/>
          <w:highlight w:val="none"/>
        </w:rPr>
        <w:t>、《中华人民共和国政府采购法》等相关法律法规之规定，按照平等、自愿、公平和诚实信用的原则，经甲方和乙方协商一致， 约定以下合同条款，以兹共同遵守、全面履行。</w:t>
      </w:r>
    </w:p>
    <w:p w14:paraId="61C57437">
      <w:pPr>
        <w:pStyle w:val="7"/>
        <w:numPr>
          <w:ilvl w:val="1"/>
          <w:numId w:val="5"/>
        </w:numPr>
        <w:tabs>
          <w:tab w:val="left" w:pos="1142"/>
        </w:tabs>
        <w:spacing w:before="2" w:line="360" w:lineRule="auto"/>
        <w:rPr>
          <w:sz w:val="21"/>
          <w:szCs w:val="21"/>
          <w:highlight w:val="none"/>
        </w:rPr>
      </w:pPr>
      <w:r>
        <w:rPr>
          <w:sz w:val="21"/>
          <w:szCs w:val="21"/>
          <w:highlight w:val="none"/>
        </w:rPr>
        <w:t>合同组成部分</w:t>
      </w:r>
    </w:p>
    <w:p w14:paraId="66A9343A">
      <w:pPr>
        <w:pStyle w:val="10"/>
        <w:spacing w:before="161" w:line="360" w:lineRule="auto"/>
        <w:ind w:right="237" w:firstLine="434"/>
        <w:rPr>
          <w:sz w:val="21"/>
          <w:szCs w:val="21"/>
          <w:highlight w:val="none"/>
        </w:rPr>
      </w:pPr>
      <w:r>
        <w:rPr>
          <w:sz w:val="21"/>
          <w:szCs w:val="21"/>
          <w:highlight w:val="none"/>
        </w:rPr>
        <w:t>下列文件为本合同的组成部分，并构成一个整体，需综合解释、相互补充。</w:t>
      </w:r>
      <w:r>
        <w:rPr>
          <w:spacing w:val="-6"/>
          <w:sz w:val="21"/>
          <w:szCs w:val="21"/>
          <w:highlight w:val="none"/>
        </w:rPr>
        <w:t>如果下列文件内容出现不一致的情形，那么在保证按照采购文件确定的事项前提下，组成本合同的多个文件的优先适用顺序如下：</w:t>
      </w:r>
    </w:p>
    <w:p w14:paraId="76687C79">
      <w:pPr>
        <w:pStyle w:val="26"/>
        <w:numPr>
          <w:ilvl w:val="2"/>
          <w:numId w:val="5"/>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14:paraId="20D98E46">
      <w:pPr>
        <w:pStyle w:val="26"/>
        <w:numPr>
          <w:ilvl w:val="2"/>
          <w:numId w:val="5"/>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14:paraId="7926DAC8">
      <w:pPr>
        <w:pStyle w:val="26"/>
        <w:numPr>
          <w:ilvl w:val="2"/>
          <w:numId w:val="5"/>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14:paraId="26753715">
      <w:pPr>
        <w:pStyle w:val="26"/>
        <w:numPr>
          <w:ilvl w:val="2"/>
          <w:numId w:val="5"/>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lang w:eastAsia="zh-CN"/>
        </w:rPr>
        <w:t>谈判</w:t>
      </w:r>
      <w:r>
        <w:rPr>
          <w:rFonts w:ascii="宋体" w:hAnsi="宋体"/>
          <w:highlight w:val="none"/>
        </w:rPr>
        <w:t>文件（含澄清或者修改文件）；</w:t>
      </w:r>
    </w:p>
    <w:p w14:paraId="5906267C">
      <w:pPr>
        <w:pStyle w:val="26"/>
        <w:numPr>
          <w:ilvl w:val="2"/>
          <w:numId w:val="5"/>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14:paraId="3CF9D984">
      <w:pPr>
        <w:pStyle w:val="7"/>
        <w:numPr>
          <w:ilvl w:val="1"/>
          <w:numId w:val="5"/>
        </w:numPr>
        <w:tabs>
          <w:tab w:val="left" w:pos="1142"/>
        </w:tabs>
        <w:spacing w:before="161" w:line="360" w:lineRule="auto"/>
        <w:rPr>
          <w:sz w:val="21"/>
          <w:szCs w:val="21"/>
          <w:highlight w:val="none"/>
        </w:rPr>
      </w:pPr>
      <w:r>
        <w:rPr>
          <w:sz w:val="21"/>
          <w:szCs w:val="21"/>
          <w:highlight w:val="none"/>
        </w:rPr>
        <w:t>服务</w:t>
      </w:r>
    </w:p>
    <w:p w14:paraId="702150EE">
      <w:pPr>
        <w:pStyle w:val="26"/>
        <w:numPr>
          <w:ilvl w:val="2"/>
          <w:numId w:val="5"/>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hint="eastAsia" w:ascii="宋体" w:hAnsi="宋体"/>
          <w:highlight w:val="none"/>
          <w:u w:val="single"/>
        </w:rPr>
        <w:t>安徽融城高新技术产业发展集团有限公司界首市军用特种服饰生产和研发军民融合示范园项目（一期）检测</w:t>
      </w:r>
      <w:r>
        <w:rPr>
          <w:rFonts w:ascii="宋体" w:hAnsi="宋体"/>
          <w:highlight w:val="none"/>
        </w:rPr>
        <w:t>；</w:t>
      </w:r>
    </w:p>
    <w:p w14:paraId="43B84F1D">
      <w:pPr>
        <w:pStyle w:val="26"/>
        <w:numPr>
          <w:ilvl w:val="2"/>
          <w:numId w:val="5"/>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hint="eastAsia" w:ascii="宋体" w:hAnsi="宋体"/>
          <w:highlight w:val="none"/>
          <w:u w:val="single"/>
        </w:rPr>
        <w:t>检测内容包括但不限于项目范围内的所有专项检测、见证取样检测等。包括但不限于地基与基础工程、主体结构工程（建筑、结构）、人防工程、内外装饰工程（室内环境检测、铝合金窗及百叶、建筑幕墙工程、屋面工程等）、电气工程、给排水工程、消防工程、通风与空调、智能化、亮化、室外工程（园林景观、道路、综合管网、消防、智能化、电力排管、排水检测、水质检测等）、建筑节能等所有工程至全部工程验收合格、竣工验收备案为止的所有检测。项目的检测内容、数量及频率按照国家相关规范的规定取定，如有建设主管部门相关特殊要求按规定执行。具体检测业务以委托人任务书为准。对于合同清单内未列明但国家规范强制要求必须检测的项目，视为已包含在合同总价中，乙方不得另行收费。</w:t>
      </w:r>
      <w:r>
        <w:rPr>
          <w:rFonts w:ascii="宋体" w:hAnsi="宋体"/>
          <w:highlight w:val="none"/>
        </w:rPr>
        <w:t>；</w:t>
      </w:r>
    </w:p>
    <w:p w14:paraId="444DCA63">
      <w:pPr>
        <w:pStyle w:val="26"/>
        <w:numPr>
          <w:ilvl w:val="2"/>
          <w:numId w:val="5"/>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hint="eastAsia" w:ascii="宋体" w:hAnsi="宋体"/>
          <w:highlight w:val="none"/>
          <w:u w:val="single"/>
        </w:rPr>
        <w:t>完成业主任务，符合国家相关法律法规规定</w:t>
      </w:r>
      <w:r>
        <w:rPr>
          <w:rFonts w:ascii="宋体" w:hAnsi="宋体"/>
          <w:highlight w:val="none"/>
        </w:rPr>
        <w:t>。</w:t>
      </w:r>
    </w:p>
    <w:p w14:paraId="267D4E20">
      <w:pPr>
        <w:pStyle w:val="7"/>
        <w:numPr>
          <w:ilvl w:val="1"/>
          <w:numId w:val="5"/>
        </w:numPr>
        <w:tabs>
          <w:tab w:val="left" w:pos="1142"/>
        </w:tabs>
        <w:spacing w:before="161" w:line="360" w:lineRule="auto"/>
        <w:rPr>
          <w:sz w:val="21"/>
          <w:szCs w:val="21"/>
          <w:highlight w:val="none"/>
        </w:rPr>
      </w:pPr>
      <w:r>
        <w:rPr>
          <w:sz w:val="21"/>
          <w:szCs w:val="21"/>
          <w:highlight w:val="none"/>
        </w:rPr>
        <w:t>价款</w:t>
      </w:r>
    </w:p>
    <w:p w14:paraId="763FDBD8">
      <w:pPr>
        <w:pStyle w:val="10"/>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16952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17EC126A">
            <w:pPr>
              <w:pStyle w:val="25"/>
              <w:spacing w:before="28"/>
              <w:ind w:left="217" w:right="211"/>
              <w:jc w:val="center"/>
              <w:rPr>
                <w:sz w:val="24"/>
                <w:highlight w:val="none"/>
                <w:lang w:eastAsia="en-US"/>
              </w:rPr>
            </w:pPr>
            <w:r>
              <w:rPr>
                <w:sz w:val="24"/>
                <w:highlight w:val="none"/>
                <w:lang w:eastAsia="en-US"/>
              </w:rPr>
              <w:t>序号</w:t>
            </w:r>
          </w:p>
        </w:tc>
        <w:tc>
          <w:tcPr>
            <w:tcW w:w="4317" w:type="dxa"/>
          </w:tcPr>
          <w:p w14:paraId="7927E169">
            <w:pPr>
              <w:pStyle w:val="25"/>
              <w:spacing w:before="28"/>
              <w:ind w:left="1755" w:right="1551"/>
              <w:jc w:val="center"/>
              <w:rPr>
                <w:sz w:val="24"/>
                <w:highlight w:val="none"/>
                <w:lang w:eastAsia="en-US"/>
              </w:rPr>
            </w:pPr>
            <w:r>
              <w:rPr>
                <w:sz w:val="24"/>
                <w:highlight w:val="none"/>
                <w:lang w:eastAsia="en-US"/>
              </w:rPr>
              <w:t>分项名称</w:t>
            </w:r>
          </w:p>
        </w:tc>
        <w:tc>
          <w:tcPr>
            <w:tcW w:w="3239" w:type="dxa"/>
          </w:tcPr>
          <w:p w14:paraId="68E13C63">
            <w:pPr>
              <w:pStyle w:val="25"/>
              <w:spacing w:before="28"/>
              <w:ind w:left="1116" w:right="1113"/>
              <w:jc w:val="center"/>
              <w:rPr>
                <w:sz w:val="24"/>
                <w:highlight w:val="none"/>
                <w:lang w:eastAsia="en-US"/>
              </w:rPr>
            </w:pPr>
            <w:r>
              <w:rPr>
                <w:sz w:val="24"/>
                <w:highlight w:val="none"/>
                <w:lang w:eastAsia="en-US"/>
              </w:rPr>
              <w:t>分项价格</w:t>
            </w:r>
          </w:p>
        </w:tc>
      </w:tr>
      <w:tr w14:paraId="03A9F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0E39A1E">
            <w:pPr>
              <w:pStyle w:val="25"/>
              <w:spacing w:line="307" w:lineRule="exact"/>
              <w:ind w:left="6"/>
              <w:jc w:val="center"/>
              <w:rPr>
                <w:sz w:val="24"/>
                <w:highlight w:val="none"/>
                <w:lang w:eastAsia="en-US"/>
              </w:rPr>
            </w:pPr>
            <w:r>
              <w:rPr>
                <w:sz w:val="24"/>
                <w:highlight w:val="none"/>
                <w:lang w:eastAsia="en-US"/>
              </w:rPr>
              <w:t>1</w:t>
            </w:r>
          </w:p>
        </w:tc>
        <w:tc>
          <w:tcPr>
            <w:tcW w:w="4317" w:type="dxa"/>
          </w:tcPr>
          <w:p w14:paraId="2AAC10AF">
            <w:pPr>
              <w:pStyle w:val="25"/>
              <w:rPr>
                <w:rFonts w:ascii="Times New Roman"/>
                <w:highlight w:val="none"/>
                <w:lang w:eastAsia="en-US"/>
              </w:rPr>
            </w:pPr>
          </w:p>
        </w:tc>
        <w:tc>
          <w:tcPr>
            <w:tcW w:w="3239" w:type="dxa"/>
          </w:tcPr>
          <w:p w14:paraId="1EBB65E3">
            <w:pPr>
              <w:pStyle w:val="25"/>
              <w:rPr>
                <w:rFonts w:ascii="Times New Roman"/>
                <w:highlight w:val="none"/>
                <w:lang w:eastAsia="en-US"/>
              </w:rPr>
            </w:pPr>
          </w:p>
        </w:tc>
      </w:tr>
      <w:tr w14:paraId="13C2C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5C732CF4">
            <w:pPr>
              <w:pStyle w:val="25"/>
              <w:ind w:left="6"/>
              <w:jc w:val="center"/>
              <w:rPr>
                <w:sz w:val="24"/>
                <w:highlight w:val="none"/>
                <w:lang w:eastAsia="en-US"/>
              </w:rPr>
            </w:pPr>
            <w:r>
              <w:rPr>
                <w:sz w:val="24"/>
                <w:highlight w:val="none"/>
                <w:lang w:eastAsia="en-US"/>
              </w:rPr>
              <w:t>2</w:t>
            </w:r>
          </w:p>
        </w:tc>
        <w:tc>
          <w:tcPr>
            <w:tcW w:w="4317" w:type="dxa"/>
          </w:tcPr>
          <w:p w14:paraId="4C843FCB">
            <w:pPr>
              <w:pStyle w:val="25"/>
              <w:rPr>
                <w:rFonts w:ascii="Times New Roman"/>
                <w:highlight w:val="none"/>
                <w:lang w:eastAsia="en-US"/>
              </w:rPr>
            </w:pPr>
          </w:p>
        </w:tc>
        <w:tc>
          <w:tcPr>
            <w:tcW w:w="3239" w:type="dxa"/>
          </w:tcPr>
          <w:p w14:paraId="4D91D2D3">
            <w:pPr>
              <w:pStyle w:val="25"/>
              <w:rPr>
                <w:rFonts w:ascii="Times New Roman"/>
                <w:highlight w:val="none"/>
                <w:lang w:eastAsia="en-US"/>
              </w:rPr>
            </w:pPr>
          </w:p>
        </w:tc>
      </w:tr>
      <w:tr w14:paraId="08782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22501427">
            <w:pPr>
              <w:pStyle w:val="25"/>
              <w:spacing w:line="307" w:lineRule="exact"/>
              <w:ind w:left="6"/>
              <w:jc w:val="center"/>
              <w:rPr>
                <w:sz w:val="24"/>
                <w:highlight w:val="none"/>
                <w:lang w:eastAsia="en-US"/>
              </w:rPr>
            </w:pPr>
            <w:r>
              <w:rPr>
                <w:sz w:val="24"/>
                <w:highlight w:val="none"/>
                <w:lang w:eastAsia="en-US"/>
              </w:rPr>
              <w:t>3</w:t>
            </w:r>
          </w:p>
        </w:tc>
        <w:tc>
          <w:tcPr>
            <w:tcW w:w="4317" w:type="dxa"/>
          </w:tcPr>
          <w:p w14:paraId="6C619298">
            <w:pPr>
              <w:pStyle w:val="25"/>
              <w:rPr>
                <w:rFonts w:ascii="Times New Roman"/>
                <w:highlight w:val="none"/>
                <w:lang w:eastAsia="en-US"/>
              </w:rPr>
            </w:pPr>
          </w:p>
        </w:tc>
        <w:tc>
          <w:tcPr>
            <w:tcW w:w="3239" w:type="dxa"/>
          </w:tcPr>
          <w:p w14:paraId="116ECF5C">
            <w:pPr>
              <w:pStyle w:val="25"/>
              <w:rPr>
                <w:rFonts w:ascii="Times New Roman"/>
                <w:highlight w:val="none"/>
                <w:lang w:eastAsia="en-US"/>
              </w:rPr>
            </w:pPr>
          </w:p>
        </w:tc>
      </w:tr>
      <w:tr w14:paraId="7178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17354A90">
            <w:pPr>
              <w:pStyle w:val="25"/>
              <w:spacing w:line="307" w:lineRule="exact"/>
              <w:ind w:left="217" w:right="211"/>
              <w:jc w:val="center"/>
              <w:rPr>
                <w:sz w:val="24"/>
                <w:highlight w:val="none"/>
                <w:lang w:eastAsia="en-US"/>
              </w:rPr>
            </w:pPr>
            <w:r>
              <w:rPr>
                <w:w w:val="200"/>
                <w:sz w:val="24"/>
                <w:highlight w:val="none"/>
                <w:lang w:eastAsia="en-US"/>
              </w:rPr>
              <w:t>„„</w:t>
            </w:r>
          </w:p>
        </w:tc>
        <w:tc>
          <w:tcPr>
            <w:tcW w:w="4317" w:type="dxa"/>
          </w:tcPr>
          <w:p w14:paraId="6F48AAC2">
            <w:pPr>
              <w:pStyle w:val="25"/>
              <w:rPr>
                <w:rFonts w:ascii="Times New Roman"/>
                <w:highlight w:val="none"/>
                <w:lang w:eastAsia="en-US"/>
              </w:rPr>
            </w:pPr>
          </w:p>
        </w:tc>
        <w:tc>
          <w:tcPr>
            <w:tcW w:w="3239" w:type="dxa"/>
          </w:tcPr>
          <w:p w14:paraId="503D7FBE">
            <w:pPr>
              <w:pStyle w:val="25"/>
              <w:rPr>
                <w:rFonts w:ascii="Times New Roman"/>
                <w:highlight w:val="none"/>
                <w:lang w:eastAsia="en-US"/>
              </w:rPr>
            </w:pPr>
          </w:p>
        </w:tc>
      </w:tr>
      <w:tr w14:paraId="07C52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12B2A73E">
            <w:pPr>
              <w:pStyle w:val="25"/>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14:paraId="26DCCD1E">
            <w:pPr>
              <w:pStyle w:val="25"/>
              <w:rPr>
                <w:rFonts w:ascii="Times New Roman"/>
                <w:highlight w:val="none"/>
                <w:lang w:eastAsia="en-US"/>
              </w:rPr>
            </w:pPr>
          </w:p>
        </w:tc>
      </w:tr>
    </w:tbl>
    <w:p w14:paraId="7781D9D8">
      <w:pPr>
        <w:pStyle w:val="10"/>
        <w:spacing w:line="360" w:lineRule="auto"/>
        <w:rPr>
          <w:sz w:val="21"/>
          <w:szCs w:val="21"/>
          <w:highlight w:val="none"/>
        </w:rPr>
      </w:pPr>
    </w:p>
    <w:p w14:paraId="6D9B29E3">
      <w:pPr>
        <w:pStyle w:val="7"/>
        <w:numPr>
          <w:ilvl w:val="1"/>
          <w:numId w:val="5"/>
        </w:numPr>
        <w:tabs>
          <w:tab w:val="left" w:pos="1142"/>
        </w:tabs>
        <w:spacing w:before="0" w:line="360" w:lineRule="auto"/>
        <w:rPr>
          <w:sz w:val="21"/>
          <w:szCs w:val="21"/>
          <w:highlight w:val="none"/>
        </w:rPr>
      </w:pPr>
      <w:r>
        <w:rPr>
          <w:sz w:val="21"/>
          <w:szCs w:val="21"/>
          <w:highlight w:val="none"/>
        </w:rPr>
        <w:t>付款方式和发票开具方式</w:t>
      </w:r>
    </w:p>
    <w:p w14:paraId="0098FF52">
      <w:pPr>
        <w:pStyle w:val="26"/>
        <w:numPr>
          <w:ilvl w:val="2"/>
          <w:numId w:val="5"/>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hint="eastAsia" w:cs="宋体"/>
          <w:kern w:val="0"/>
          <w:sz w:val="21"/>
          <w:szCs w:val="21"/>
          <w:highlight w:val="none"/>
          <w:u w:val="single"/>
          <w:lang w:val="en-US" w:eastAsia="zh-CN" w:bidi="zh-CN"/>
        </w:rPr>
        <w:t>项目进度完成至总进度的30%，支付至合同金额的20%，项目进度完成至总进度的60%，支付至合同金额的50%，项目进度完成至总进度的90%，支付至合同金额的80%，所有检测工作完成（包括但不限于室外附属工程、装饰装修工程等）工程竣工验收备案移交后支付至合同价款的 100%</w:t>
      </w:r>
      <w:r>
        <w:rPr>
          <w:rFonts w:ascii="宋体" w:hAnsi="宋体"/>
          <w:highlight w:val="none"/>
          <w:u w:val="single"/>
        </w:rPr>
        <w:t>；</w:t>
      </w:r>
    </w:p>
    <w:p w14:paraId="7025B593">
      <w:pPr>
        <w:pStyle w:val="26"/>
        <w:numPr>
          <w:ilvl w:val="2"/>
          <w:numId w:val="5"/>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rPr>
        <w:t>。</w:t>
      </w:r>
    </w:p>
    <w:p w14:paraId="5CF0BC17">
      <w:pPr>
        <w:pStyle w:val="7"/>
        <w:numPr>
          <w:ilvl w:val="1"/>
          <w:numId w:val="5"/>
        </w:numPr>
        <w:tabs>
          <w:tab w:val="left" w:pos="1142"/>
        </w:tabs>
        <w:spacing w:before="160" w:line="360" w:lineRule="auto"/>
        <w:rPr>
          <w:sz w:val="21"/>
          <w:szCs w:val="21"/>
          <w:highlight w:val="none"/>
        </w:rPr>
      </w:pPr>
      <w:r>
        <w:rPr>
          <w:sz w:val="21"/>
          <w:szCs w:val="21"/>
          <w:highlight w:val="none"/>
        </w:rPr>
        <w:t>服务期限、地点和方式</w:t>
      </w:r>
    </w:p>
    <w:p w14:paraId="0FAE11AD">
      <w:pPr>
        <w:pStyle w:val="26"/>
        <w:numPr>
          <w:ilvl w:val="2"/>
          <w:numId w:val="5"/>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hint="eastAsia" w:ascii="宋体" w:hAnsi="宋体"/>
          <w:highlight w:val="none"/>
          <w:u w:val="single"/>
        </w:rPr>
        <w:t>自合同签订之日起至项目竣工验收备案移交止</w:t>
      </w:r>
      <w:r>
        <w:rPr>
          <w:rFonts w:ascii="宋体" w:hAnsi="宋体"/>
          <w:highlight w:val="none"/>
        </w:rPr>
        <w:t>；</w:t>
      </w:r>
    </w:p>
    <w:p w14:paraId="4C206FC2">
      <w:pPr>
        <w:pStyle w:val="26"/>
        <w:numPr>
          <w:ilvl w:val="2"/>
          <w:numId w:val="5"/>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hint="eastAsia" w:ascii="宋体" w:hAnsi="宋体"/>
          <w:highlight w:val="none"/>
          <w:u w:val="single"/>
          <w:lang w:val="en-US" w:eastAsia="zh-CN"/>
        </w:rPr>
        <w:t>界首市</w:t>
      </w:r>
      <w:r>
        <w:rPr>
          <w:rFonts w:ascii="宋体" w:hAnsi="宋体"/>
          <w:highlight w:val="none"/>
        </w:rPr>
        <w:t>；</w:t>
      </w:r>
    </w:p>
    <w:p w14:paraId="11141AA5">
      <w:pPr>
        <w:pStyle w:val="26"/>
        <w:numPr>
          <w:ilvl w:val="2"/>
          <w:numId w:val="5"/>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hint="eastAsia" w:ascii="宋体" w:hAnsi="宋体"/>
          <w:highlight w:val="none"/>
          <w:u w:val="single"/>
          <w:lang w:val="en-US" w:eastAsia="zh-CN"/>
        </w:rPr>
        <w:t>现场服务</w:t>
      </w:r>
      <w:r>
        <w:rPr>
          <w:rFonts w:ascii="宋体" w:hAnsi="宋体"/>
          <w:highlight w:val="none"/>
        </w:rPr>
        <w:t>。</w:t>
      </w:r>
    </w:p>
    <w:p w14:paraId="496B1D09">
      <w:pPr>
        <w:pStyle w:val="7"/>
        <w:numPr>
          <w:ilvl w:val="1"/>
          <w:numId w:val="5"/>
        </w:numPr>
        <w:tabs>
          <w:tab w:val="left" w:pos="1142"/>
        </w:tabs>
        <w:spacing w:before="160" w:line="360" w:lineRule="auto"/>
        <w:rPr>
          <w:sz w:val="21"/>
          <w:szCs w:val="21"/>
          <w:highlight w:val="none"/>
        </w:rPr>
      </w:pPr>
      <w:r>
        <w:rPr>
          <w:sz w:val="21"/>
          <w:szCs w:val="21"/>
          <w:highlight w:val="none"/>
        </w:rPr>
        <w:t>违约责任</w:t>
      </w:r>
    </w:p>
    <w:p w14:paraId="19BC3C7B">
      <w:pPr>
        <w:pStyle w:val="26"/>
        <w:numPr>
          <w:ilvl w:val="2"/>
          <w:numId w:val="5"/>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hint="eastAsia" w:ascii="宋体" w:hAnsi="宋体"/>
          <w:highlight w:val="none"/>
          <w:u w:val="single"/>
          <w:lang w:val="en-US" w:eastAsia="zh-CN"/>
        </w:rPr>
        <w:t>/</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hint="eastAsia" w:ascii="宋体" w:hAnsi="宋体"/>
          <w:highlight w:val="none"/>
          <w:u w:val="single"/>
          <w:lang w:val="en-US" w:eastAsia="zh-CN"/>
        </w:rPr>
        <w:t>/</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14:paraId="56385E8E">
      <w:pPr>
        <w:pStyle w:val="26"/>
        <w:numPr>
          <w:ilvl w:val="2"/>
          <w:numId w:val="5"/>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hint="eastAsia" w:ascii="宋体" w:hAnsi="宋体"/>
          <w:highlight w:val="none"/>
          <w:u w:val="single"/>
          <w:lang w:val="en-US" w:eastAsia="zh-CN"/>
        </w:rPr>
        <w:t>/</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hint="eastAsia" w:ascii="宋体" w:hAnsi="宋体"/>
          <w:highlight w:val="none"/>
          <w:u w:val="single"/>
          <w:lang w:val="en-US" w:eastAsia="zh-CN"/>
        </w:rPr>
        <w:t>/</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14:paraId="268C380E">
      <w:pPr>
        <w:pStyle w:val="26"/>
        <w:numPr>
          <w:ilvl w:val="2"/>
          <w:numId w:val="5"/>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14:paraId="283E5BEE">
      <w:pPr>
        <w:pStyle w:val="26"/>
        <w:numPr>
          <w:ilvl w:val="2"/>
          <w:numId w:val="5"/>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14:paraId="4DD50F76">
      <w:pPr>
        <w:pStyle w:val="26"/>
        <w:numPr>
          <w:ilvl w:val="2"/>
          <w:numId w:val="5"/>
        </w:numPr>
        <w:tabs>
          <w:tab w:val="left" w:pos="1315"/>
        </w:tabs>
        <w:autoSpaceDE w:val="0"/>
        <w:autoSpaceDN w:val="0"/>
        <w:spacing w:before="3" w:line="360" w:lineRule="auto"/>
        <w:ind w:left="220" w:right="359" w:firstLine="434" w:firstLineChars="0"/>
        <w:rPr>
          <w:sz w:val="21"/>
          <w:szCs w:val="21"/>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r>
        <w:rPr>
          <w:sz w:val="21"/>
          <w:szCs w:val="21"/>
          <w:highlight w:val="none"/>
        </w:rPr>
        <w:t>行使的任何权利救济方式均不视为其放弃了其他法定或者约定的权利救济方式；</w:t>
      </w:r>
    </w:p>
    <w:p w14:paraId="007F7506">
      <w:pPr>
        <w:pStyle w:val="26"/>
        <w:numPr>
          <w:ilvl w:val="2"/>
          <w:numId w:val="5"/>
        </w:numPr>
        <w:tabs>
          <w:tab w:val="left" w:pos="1327"/>
        </w:tabs>
        <w:autoSpaceDE w:val="0"/>
        <w:autoSpaceDN w:val="0"/>
        <w:spacing w:before="160" w:line="360" w:lineRule="auto"/>
        <w:ind w:left="220" w:right="357" w:firstLine="434" w:firstLineChars="0"/>
        <w:rPr>
          <w:rFonts w:ascii="宋体" w:hAnsi="宋体"/>
          <w:highlight w:val="none"/>
        </w:rPr>
      </w:pPr>
      <w:r>
        <w:rPr>
          <w:rFonts w:ascii="宋体" w:hAnsi="宋体"/>
          <w:spacing w:val="-1"/>
          <w:highlight w:val="none"/>
        </w:rPr>
        <w:t>如果出现政府采购监督管理部门在处理投诉事项期间，书面通知甲方</w:t>
      </w:r>
      <w:r>
        <w:rPr>
          <w:rFonts w:ascii="宋体" w:hAnsi="宋体"/>
          <w:spacing w:val="-8"/>
          <w:highlight w:val="none"/>
        </w:rPr>
        <w:t>暂停采购活动的情形，或者询问或质疑事项可能影响中标结果的，导致甲方中止</w:t>
      </w:r>
      <w:r>
        <w:rPr>
          <w:rFonts w:ascii="宋体" w:hAnsi="宋体"/>
          <w:highlight w:val="none"/>
        </w:rPr>
        <w:t>履行合同的情形，均不视为甲方违约。</w:t>
      </w:r>
    </w:p>
    <w:p w14:paraId="40DE09B6">
      <w:pPr>
        <w:pStyle w:val="7"/>
        <w:numPr>
          <w:ilvl w:val="1"/>
          <w:numId w:val="5"/>
        </w:numPr>
        <w:tabs>
          <w:tab w:val="left" w:pos="1142"/>
        </w:tabs>
        <w:spacing w:before="2" w:line="360" w:lineRule="auto"/>
        <w:rPr>
          <w:sz w:val="21"/>
          <w:szCs w:val="21"/>
          <w:highlight w:val="none"/>
        </w:rPr>
      </w:pPr>
      <w:r>
        <w:rPr>
          <w:sz w:val="21"/>
          <w:szCs w:val="21"/>
          <w:highlight w:val="none"/>
        </w:rPr>
        <w:t>合同争议的解决</w:t>
      </w:r>
    </w:p>
    <w:p w14:paraId="701DA6B2">
      <w:pPr>
        <w:pStyle w:val="10"/>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rFonts w:hint="eastAsia"/>
          <w:sz w:val="21"/>
          <w:szCs w:val="21"/>
          <w:highlight w:val="none"/>
          <w:u w:val="single"/>
          <w:lang w:val="en-US" w:eastAsia="zh-CN"/>
        </w:rPr>
        <w:t>1.7.2</w:t>
      </w:r>
      <w:r>
        <w:rPr>
          <w:sz w:val="21"/>
          <w:szCs w:val="21"/>
          <w:highlight w:val="none"/>
        </w:rPr>
        <w:t>种方式解决：</w:t>
      </w:r>
    </w:p>
    <w:p w14:paraId="333EF3EF">
      <w:pPr>
        <w:pStyle w:val="26"/>
        <w:numPr>
          <w:ilvl w:val="2"/>
          <w:numId w:val="5"/>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14:paraId="5F44B56C">
      <w:pPr>
        <w:pStyle w:val="26"/>
        <w:numPr>
          <w:ilvl w:val="2"/>
          <w:numId w:val="5"/>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hint="eastAsia" w:ascii="宋体" w:hAnsi="宋体"/>
          <w:highlight w:val="none"/>
          <w:u w:val="single"/>
          <w:lang w:val="en-US" w:eastAsia="zh-CN"/>
        </w:rPr>
        <w:t>项目所在地</w:t>
      </w:r>
      <w:r>
        <w:rPr>
          <w:rFonts w:ascii="宋体" w:hAnsi="宋体"/>
          <w:highlight w:val="none"/>
        </w:rPr>
        <w:t>人民法院起诉。</w:t>
      </w:r>
    </w:p>
    <w:p w14:paraId="7B6CE7D3">
      <w:pPr>
        <w:pStyle w:val="7"/>
        <w:numPr>
          <w:ilvl w:val="1"/>
          <w:numId w:val="5"/>
        </w:numPr>
        <w:tabs>
          <w:tab w:val="left" w:pos="1142"/>
        </w:tabs>
        <w:spacing w:before="160" w:line="360" w:lineRule="auto"/>
        <w:rPr>
          <w:sz w:val="21"/>
          <w:szCs w:val="21"/>
          <w:highlight w:val="none"/>
        </w:rPr>
      </w:pPr>
      <w:r>
        <w:rPr>
          <w:sz w:val="21"/>
          <w:szCs w:val="21"/>
          <w:highlight w:val="none"/>
        </w:rPr>
        <w:t>合同生效</w:t>
      </w:r>
    </w:p>
    <w:p w14:paraId="465CEF14">
      <w:pPr>
        <w:pStyle w:val="10"/>
        <w:spacing w:before="161" w:line="360" w:lineRule="auto"/>
        <w:ind w:left="654"/>
        <w:rPr>
          <w:sz w:val="21"/>
          <w:szCs w:val="21"/>
          <w:highlight w:val="none"/>
        </w:rPr>
      </w:pPr>
      <w:r>
        <w:rPr>
          <w:sz w:val="21"/>
          <w:szCs w:val="21"/>
          <w:highlight w:val="none"/>
        </w:rPr>
        <w:t>本合同自双方当事人盖章时生效。</w:t>
      </w:r>
    </w:p>
    <w:p w14:paraId="68AB09E4">
      <w:pPr>
        <w:pStyle w:val="10"/>
        <w:spacing w:line="360" w:lineRule="auto"/>
        <w:rPr>
          <w:sz w:val="21"/>
          <w:szCs w:val="21"/>
          <w:highlight w:val="none"/>
        </w:rPr>
      </w:pPr>
    </w:p>
    <w:p w14:paraId="27CA1C43">
      <w:pPr>
        <w:pStyle w:val="10"/>
        <w:spacing w:line="360" w:lineRule="auto"/>
        <w:rPr>
          <w:sz w:val="21"/>
          <w:szCs w:val="21"/>
          <w:highlight w:val="none"/>
        </w:rPr>
      </w:pPr>
    </w:p>
    <w:p w14:paraId="269428E4">
      <w:pPr>
        <w:pStyle w:val="10"/>
        <w:spacing w:line="360" w:lineRule="auto"/>
        <w:rPr>
          <w:sz w:val="21"/>
          <w:szCs w:val="21"/>
          <w:highlight w:val="none"/>
        </w:rPr>
      </w:pPr>
    </w:p>
    <w:p w14:paraId="5F5B2218">
      <w:pPr>
        <w:pStyle w:val="10"/>
        <w:spacing w:line="360" w:lineRule="auto"/>
        <w:rPr>
          <w:sz w:val="21"/>
          <w:szCs w:val="21"/>
          <w:highlight w:val="none"/>
        </w:rPr>
      </w:pPr>
    </w:p>
    <w:p w14:paraId="2BB83820">
      <w:pPr>
        <w:pStyle w:val="10"/>
        <w:spacing w:line="360" w:lineRule="auto"/>
        <w:rPr>
          <w:sz w:val="21"/>
          <w:szCs w:val="21"/>
          <w:highlight w:val="none"/>
        </w:rPr>
      </w:pPr>
    </w:p>
    <w:p w14:paraId="71D4BB0B">
      <w:pPr>
        <w:pStyle w:val="10"/>
        <w:spacing w:before="10" w:line="360" w:lineRule="auto"/>
        <w:rPr>
          <w:sz w:val="21"/>
          <w:szCs w:val="21"/>
          <w:highlight w:val="none"/>
        </w:rPr>
      </w:pPr>
    </w:p>
    <w:p w14:paraId="53B5B7B5">
      <w:pPr>
        <w:pStyle w:val="10"/>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14:paraId="7B1A3815">
      <w:pPr>
        <w:pStyle w:val="10"/>
        <w:spacing w:before="6" w:line="360" w:lineRule="auto"/>
        <w:rPr>
          <w:sz w:val="21"/>
          <w:szCs w:val="21"/>
          <w:highlight w:val="none"/>
        </w:rPr>
      </w:pPr>
    </w:p>
    <w:p w14:paraId="0FB30606">
      <w:pPr>
        <w:pStyle w:val="10"/>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14:paraId="1996F716">
      <w:pPr>
        <w:pStyle w:val="10"/>
        <w:spacing w:before="11" w:line="360" w:lineRule="auto"/>
        <w:rPr>
          <w:sz w:val="21"/>
          <w:szCs w:val="21"/>
          <w:highlight w:val="none"/>
        </w:rPr>
      </w:pPr>
    </w:p>
    <w:p w14:paraId="47EEF700">
      <w:pPr>
        <w:pStyle w:val="10"/>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14:paraId="506FE255">
      <w:pPr>
        <w:pStyle w:val="10"/>
        <w:spacing w:before="8" w:line="360" w:lineRule="auto"/>
        <w:rPr>
          <w:sz w:val="21"/>
          <w:szCs w:val="21"/>
          <w:highlight w:val="none"/>
        </w:rPr>
      </w:pPr>
    </w:p>
    <w:p w14:paraId="7DA27CB3">
      <w:pPr>
        <w:pStyle w:val="10"/>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378CACEA">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1BB94D8F">
      <w:pPr>
        <w:pStyle w:val="7"/>
        <w:spacing w:line="360" w:lineRule="auto"/>
        <w:ind w:left="1367" w:right="1505"/>
        <w:jc w:val="center"/>
        <w:rPr>
          <w:sz w:val="21"/>
          <w:szCs w:val="21"/>
          <w:highlight w:val="none"/>
        </w:rPr>
      </w:pPr>
      <w:r>
        <w:rPr>
          <w:sz w:val="21"/>
          <w:szCs w:val="21"/>
          <w:highlight w:val="none"/>
        </w:rPr>
        <w:t>第二部分 合同一般条款</w:t>
      </w:r>
    </w:p>
    <w:p w14:paraId="69F860BF">
      <w:pPr>
        <w:pStyle w:val="7"/>
        <w:numPr>
          <w:ilvl w:val="1"/>
          <w:numId w:val="6"/>
        </w:numPr>
        <w:tabs>
          <w:tab w:val="left" w:pos="1142"/>
        </w:tabs>
        <w:spacing w:before="160" w:line="360" w:lineRule="auto"/>
        <w:rPr>
          <w:sz w:val="21"/>
          <w:szCs w:val="21"/>
          <w:highlight w:val="none"/>
        </w:rPr>
      </w:pPr>
      <w:r>
        <w:rPr>
          <w:sz w:val="21"/>
          <w:szCs w:val="21"/>
          <w:highlight w:val="none"/>
        </w:rPr>
        <w:t>定义</w:t>
      </w:r>
    </w:p>
    <w:p w14:paraId="319E1C4E">
      <w:pPr>
        <w:pStyle w:val="10"/>
        <w:spacing w:before="161" w:line="360" w:lineRule="auto"/>
        <w:ind w:left="654"/>
        <w:rPr>
          <w:sz w:val="21"/>
          <w:szCs w:val="21"/>
          <w:highlight w:val="none"/>
        </w:rPr>
      </w:pPr>
      <w:r>
        <w:rPr>
          <w:sz w:val="21"/>
          <w:szCs w:val="21"/>
          <w:highlight w:val="none"/>
        </w:rPr>
        <w:t>本合同中的下列词语应按以下内容进行解释：</w:t>
      </w:r>
    </w:p>
    <w:p w14:paraId="18862E02">
      <w:pPr>
        <w:pStyle w:val="26"/>
        <w:numPr>
          <w:ilvl w:val="2"/>
          <w:numId w:val="6"/>
        </w:numPr>
        <w:tabs>
          <w:tab w:val="left" w:pos="1256"/>
        </w:tabs>
        <w:autoSpaceDE w:val="0"/>
        <w:autoSpaceDN w:val="0"/>
        <w:spacing w:before="160" w:line="360" w:lineRule="auto"/>
        <w:ind w:right="358" w:firstLine="434" w:firstLineChars="0"/>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14:paraId="5A6C64AC">
      <w:pPr>
        <w:pStyle w:val="26"/>
        <w:numPr>
          <w:ilvl w:val="2"/>
          <w:numId w:val="6"/>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“合同价”系指根据合同约定，中标人在完全履行合同义务后，采购人应支付给中标人的价格。</w:t>
      </w:r>
    </w:p>
    <w:p w14:paraId="56E57D3B">
      <w:pPr>
        <w:pStyle w:val="26"/>
        <w:numPr>
          <w:ilvl w:val="2"/>
          <w:numId w:val="6"/>
        </w:numPr>
        <w:tabs>
          <w:tab w:val="left" w:pos="1256"/>
        </w:tabs>
        <w:autoSpaceDE w:val="0"/>
        <w:autoSpaceDN w:val="0"/>
        <w:spacing w:before="1" w:line="360" w:lineRule="auto"/>
        <w:ind w:right="356" w:firstLine="434" w:firstLineChars="0"/>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14:paraId="5DEBF8B8">
      <w:pPr>
        <w:pStyle w:val="26"/>
        <w:numPr>
          <w:ilvl w:val="2"/>
          <w:numId w:val="6"/>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14:paraId="6B530EB7">
      <w:pPr>
        <w:pStyle w:val="26"/>
        <w:numPr>
          <w:ilvl w:val="2"/>
          <w:numId w:val="6"/>
        </w:numPr>
        <w:tabs>
          <w:tab w:val="left" w:pos="1256"/>
        </w:tabs>
        <w:autoSpaceDE w:val="0"/>
        <w:autoSpaceDN w:val="0"/>
        <w:spacing w:before="1" w:line="360" w:lineRule="auto"/>
        <w:ind w:right="244" w:firstLine="434" w:firstLineChars="0"/>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14:paraId="0014C947">
      <w:pPr>
        <w:pStyle w:val="26"/>
        <w:numPr>
          <w:ilvl w:val="2"/>
          <w:numId w:val="6"/>
        </w:numPr>
        <w:tabs>
          <w:tab w:val="left" w:pos="1256"/>
        </w:tabs>
        <w:autoSpaceDE w:val="0"/>
        <w:autoSpaceDN w:val="0"/>
        <w:spacing w:before="3" w:line="360" w:lineRule="auto"/>
        <w:ind w:left="1255" w:hanging="602" w:firstLineChars="0"/>
        <w:rPr>
          <w:rFonts w:ascii="宋体" w:hAnsi="宋体"/>
          <w:highlight w:val="none"/>
        </w:rPr>
      </w:pPr>
      <w:r>
        <w:rPr>
          <w:rFonts w:ascii="宋体" w:hAnsi="宋体"/>
          <w:highlight w:val="none"/>
        </w:rPr>
        <w:t>“现场”系指合同约定提供服务的地点。</w:t>
      </w:r>
    </w:p>
    <w:p w14:paraId="6AD9DF3F">
      <w:pPr>
        <w:pStyle w:val="7"/>
        <w:numPr>
          <w:ilvl w:val="1"/>
          <w:numId w:val="6"/>
        </w:numPr>
        <w:tabs>
          <w:tab w:val="left" w:pos="1142"/>
        </w:tabs>
        <w:spacing w:before="161" w:line="360" w:lineRule="auto"/>
        <w:rPr>
          <w:sz w:val="21"/>
          <w:szCs w:val="21"/>
          <w:highlight w:val="none"/>
        </w:rPr>
      </w:pPr>
      <w:r>
        <w:rPr>
          <w:sz w:val="21"/>
          <w:szCs w:val="21"/>
          <w:highlight w:val="none"/>
        </w:rPr>
        <w:t>技术规范</w:t>
      </w:r>
    </w:p>
    <w:p w14:paraId="43643106">
      <w:pPr>
        <w:pStyle w:val="10"/>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14:paraId="44905CA8">
      <w:pPr>
        <w:pStyle w:val="7"/>
        <w:numPr>
          <w:ilvl w:val="1"/>
          <w:numId w:val="6"/>
        </w:numPr>
        <w:tabs>
          <w:tab w:val="left" w:pos="1142"/>
        </w:tabs>
        <w:spacing w:before="3" w:line="360" w:lineRule="auto"/>
        <w:rPr>
          <w:sz w:val="21"/>
          <w:szCs w:val="21"/>
          <w:highlight w:val="none"/>
        </w:rPr>
      </w:pPr>
      <w:r>
        <w:rPr>
          <w:sz w:val="21"/>
          <w:szCs w:val="21"/>
          <w:highlight w:val="none"/>
        </w:rPr>
        <w:t>知识产权</w:t>
      </w:r>
    </w:p>
    <w:p w14:paraId="0C11FF61">
      <w:pPr>
        <w:pStyle w:val="26"/>
        <w:numPr>
          <w:ilvl w:val="2"/>
          <w:numId w:val="6"/>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14:paraId="42FCABBD">
      <w:pPr>
        <w:pStyle w:val="26"/>
        <w:numPr>
          <w:ilvl w:val="2"/>
          <w:numId w:val="6"/>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14:paraId="0C007250">
      <w:pPr>
        <w:pStyle w:val="7"/>
        <w:numPr>
          <w:ilvl w:val="1"/>
          <w:numId w:val="6"/>
        </w:numPr>
        <w:tabs>
          <w:tab w:val="left" w:pos="1142"/>
        </w:tabs>
        <w:spacing w:before="3" w:line="360" w:lineRule="auto"/>
        <w:rPr>
          <w:sz w:val="21"/>
          <w:szCs w:val="21"/>
          <w:highlight w:val="none"/>
        </w:rPr>
      </w:pPr>
      <w:r>
        <w:rPr>
          <w:sz w:val="21"/>
          <w:szCs w:val="21"/>
          <w:highlight w:val="none"/>
        </w:rPr>
        <w:t>履约检查和问题反馈</w:t>
      </w:r>
    </w:p>
    <w:p w14:paraId="586CFF97">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531AE9E2">
      <w:pPr>
        <w:pStyle w:val="26"/>
        <w:numPr>
          <w:ilvl w:val="2"/>
          <w:numId w:val="6"/>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14:paraId="4356DC8E">
      <w:pPr>
        <w:pStyle w:val="26"/>
        <w:numPr>
          <w:ilvl w:val="2"/>
          <w:numId w:val="6"/>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14:paraId="55FF6FBF">
      <w:pPr>
        <w:pStyle w:val="26"/>
        <w:numPr>
          <w:ilvl w:val="1"/>
          <w:numId w:val="6"/>
        </w:numPr>
        <w:tabs>
          <w:tab w:val="left" w:pos="1142"/>
        </w:tabs>
        <w:autoSpaceDE w:val="0"/>
        <w:autoSpaceDN w:val="0"/>
        <w:spacing w:before="1" w:line="360" w:lineRule="auto"/>
        <w:ind w:left="654" w:right="5575" w:firstLine="2" w:firstLineChars="0"/>
        <w:rPr>
          <w:rFonts w:ascii="宋体" w:hAnsi="宋体"/>
          <w:highlight w:val="none"/>
        </w:rPr>
      </w:pPr>
      <w:r>
        <w:rPr>
          <w:rFonts w:ascii="宋体" w:hAnsi="宋体"/>
          <w:b/>
          <w:spacing w:val="-2"/>
          <w:highlight w:val="none"/>
        </w:rPr>
        <w:t>结算方式和付款条件</w:t>
      </w:r>
      <w:r>
        <w:rPr>
          <w:rFonts w:ascii="宋体" w:hAnsi="宋体"/>
          <w:highlight w:val="none"/>
        </w:rPr>
        <w:t>详见</w:t>
      </w:r>
      <w:r>
        <w:rPr>
          <w:rFonts w:ascii="宋体" w:hAnsi="宋体"/>
          <w:b/>
          <w:highlight w:val="none"/>
          <w:u w:val="single"/>
        </w:rPr>
        <w:t>合同专用条款</w:t>
      </w:r>
      <w:r>
        <w:rPr>
          <w:rFonts w:ascii="宋体" w:hAnsi="宋体"/>
          <w:highlight w:val="none"/>
        </w:rPr>
        <w:t>。</w:t>
      </w:r>
    </w:p>
    <w:p w14:paraId="4F8B0275">
      <w:pPr>
        <w:pStyle w:val="7"/>
        <w:numPr>
          <w:ilvl w:val="1"/>
          <w:numId w:val="6"/>
        </w:numPr>
        <w:tabs>
          <w:tab w:val="left" w:pos="1142"/>
        </w:tabs>
        <w:spacing w:before="1" w:line="360" w:lineRule="auto"/>
        <w:rPr>
          <w:sz w:val="21"/>
          <w:szCs w:val="21"/>
          <w:highlight w:val="none"/>
        </w:rPr>
      </w:pPr>
      <w:r>
        <w:rPr>
          <w:sz w:val="21"/>
          <w:szCs w:val="21"/>
          <w:highlight w:val="none"/>
        </w:rPr>
        <w:t>技术资料和保密义务</w:t>
      </w:r>
    </w:p>
    <w:p w14:paraId="37044834">
      <w:pPr>
        <w:pStyle w:val="26"/>
        <w:numPr>
          <w:ilvl w:val="2"/>
          <w:numId w:val="6"/>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14:paraId="1898F6E6">
      <w:pPr>
        <w:pStyle w:val="26"/>
        <w:numPr>
          <w:ilvl w:val="2"/>
          <w:numId w:val="6"/>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14:paraId="3D819FB4">
      <w:pPr>
        <w:pStyle w:val="26"/>
        <w:numPr>
          <w:ilvl w:val="2"/>
          <w:numId w:val="6"/>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14:paraId="7056333C">
      <w:pPr>
        <w:pStyle w:val="7"/>
        <w:numPr>
          <w:ilvl w:val="1"/>
          <w:numId w:val="6"/>
        </w:numPr>
        <w:tabs>
          <w:tab w:val="left" w:pos="1142"/>
        </w:tabs>
        <w:spacing w:before="4" w:line="360" w:lineRule="auto"/>
        <w:rPr>
          <w:sz w:val="21"/>
          <w:szCs w:val="21"/>
          <w:highlight w:val="none"/>
        </w:rPr>
      </w:pPr>
      <w:r>
        <w:rPr>
          <w:sz w:val="21"/>
          <w:szCs w:val="21"/>
          <w:highlight w:val="none"/>
        </w:rPr>
        <w:t>质量保证</w:t>
      </w:r>
    </w:p>
    <w:p w14:paraId="73B7D510">
      <w:pPr>
        <w:pStyle w:val="26"/>
        <w:numPr>
          <w:ilvl w:val="2"/>
          <w:numId w:val="6"/>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14:paraId="668F4DDB">
      <w:pPr>
        <w:pStyle w:val="26"/>
        <w:numPr>
          <w:ilvl w:val="2"/>
          <w:numId w:val="6"/>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14:paraId="638E6F5B">
      <w:pPr>
        <w:pStyle w:val="7"/>
        <w:numPr>
          <w:ilvl w:val="1"/>
          <w:numId w:val="6"/>
        </w:numPr>
        <w:tabs>
          <w:tab w:val="left" w:pos="1142"/>
        </w:tabs>
        <w:spacing w:before="2" w:line="360" w:lineRule="auto"/>
        <w:rPr>
          <w:sz w:val="21"/>
          <w:szCs w:val="21"/>
          <w:highlight w:val="none"/>
        </w:rPr>
      </w:pPr>
      <w:r>
        <w:rPr>
          <w:sz w:val="21"/>
          <w:szCs w:val="21"/>
          <w:highlight w:val="none"/>
        </w:rPr>
        <w:t>延迟履行</w:t>
      </w:r>
    </w:p>
    <w:p w14:paraId="4DBBDF15">
      <w:pPr>
        <w:pStyle w:val="10"/>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14:paraId="49240B08">
      <w:pPr>
        <w:pStyle w:val="7"/>
        <w:numPr>
          <w:ilvl w:val="1"/>
          <w:numId w:val="6"/>
        </w:numPr>
        <w:tabs>
          <w:tab w:val="left" w:pos="1142"/>
        </w:tabs>
        <w:spacing w:before="1" w:line="360" w:lineRule="auto"/>
        <w:rPr>
          <w:sz w:val="21"/>
          <w:szCs w:val="21"/>
          <w:highlight w:val="none"/>
        </w:rPr>
      </w:pPr>
      <w:r>
        <w:rPr>
          <w:sz w:val="21"/>
          <w:szCs w:val="21"/>
          <w:highlight w:val="none"/>
        </w:rPr>
        <w:t>合同变更</w:t>
      </w:r>
    </w:p>
    <w:p w14:paraId="3B18C0C5">
      <w:pPr>
        <w:pStyle w:val="26"/>
        <w:numPr>
          <w:ilvl w:val="2"/>
          <w:numId w:val="6"/>
        </w:numPr>
        <w:tabs>
          <w:tab w:val="left" w:pos="1327"/>
        </w:tabs>
        <w:autoSpaceDE w:val="0"/>
        <w:autoSpaceDN w:val="0"/>
        <w:spacing w:before="161" w:line="360" w:lineRule="auto"/>
        <w:ind w:right="357" w:firstLine="434" w:firstLineChars="0"/>
        <w:rPr>
          <w:rFonts w:ascii="宋体" w:hAnsi="宋体"/>
          <w:highlight w:val="none"/>
        </w:rPr>
      </w:pPr>
      <w:r>
        <w:rPr>
          <w:rFonts w:ascii="宋体" w:hAnsi="宋体"/>
          <w:spacing w:val="-1"/>
          <w:highlight w:val="none"/>
        </w:rPr>
        <w:t>双方当事人协商一致，可以签订书面补充合同的形式变更合同，但不</w:t>
      </w:r>
      <w:r>
        <w:rPr>
          <w:rFonts w:ascii="宋体" w:hAnsi="宋体"/>
          <w:highlight w:val="none"/>
        </w:rPr>
        <w:t>得违背采购文件确定的事项；</w:t>
      </w:r>
    </w:p>
    <w:p w14:paraId="0AEB2BB0">
      <w:pPr>
        <w:pStyle w:val="26"/>
        <w:numPr>
          <w:ilvl w:val="2"/>
          <w:numId w:val="6"/>
        </w:numPr>
        <w:tabs>
          <w:tab w:val="left" w:pos="1327"/>
        </w:tabs>
        <w:autoSpaceDE w:val="0"/>
        <w:autoSpaceDN w:val="0"/>
        <w:spacing w:before="1" w:line="360" w:lineRule="auto"/>
        <w:ind w:left="1326" w:hanging="673" w:firstLineChars="0"/>
        <w:rPr>
          <w:rFonts w:ascii="宋体" w:hAnsi="宋体"/>
          <w:highlight w:val="none"/>
        </w:rPr>
      </w:pPr>
      <w:r>
        <w:rPr>
          <w:rFonts w:ascii="宋体" w:hAnsi="宋体"/>
          <w:highlight w:val="none"/>
        </w:rPr>
        <w:t>合同继续履行将损害国家利益和社会公共利益的，双方当事人应当以</w:t>
      </w:r>
    </w:p>
    <w:p w14:paraId="5A446054">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27F849F8">
      <w:pPr>
        <w:pStyle w:val="10"/>
        <w:spacing w:before="132" w:line="360" w:lineRule="auto"/>
        <w:ind w:right="240"/>
        <w:rPr>
          <w:sz w:val="21"/>
          <w:szCs w:val="21"/>
          <w:highlight w:val="none"/>
        </w:rPr>
      </w:pPr>
      <w:r>
        <w:rPr>
          <w:sz w:val="21"/>
          <w:szCs w:val="21"/>
          <w:highlight w:val="none"/>
        </w:rPr>
        <w:t>书面形式变更合同。有过错的一方应当承担赔偿责任，双方当事人都有过错的， 各自承担相应的责任。</w:t>
      </w:r>
    </w:p>
    <w:p w14:paraId="21EE497E">
      <w:pPr>
        <w:pStyle w:val="7"/>
        <w:numPr>
          <w:ilvl w:val="1"/>
          <w:numId w:val="6"/>
        </w:numPr>
        <w:tabs>
          <w:tab w:val="left" w:pos="1262"/>
        </w:tabs>
        <w:spacing w:before="1" w:line="360" w:lineRule="auto"/>
        <w:ind w:left="1262" w:hanging="605"/>
        <w:rPr>
          <w:sz w:val="21"/>
          <w:szCs w:val="21"/>
          <w:highlight w:val="none"/>
        </w:rPr>
      </w:pPr>
      <w:r>
        <w:rPr>
          <w:sz w:val="21"/>
          <w:szCs w:val="21"/>
          <w:highlight w:val="none"/>
        </w:rPr>
        <w:t>合同转让和分包</w:t>
      </w:r>
    </w:p>
    <w:p w14:paraId="51567B87">
      <w:pPr>
        <w:pStyle w:val="10"/>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14:paraId="4BBA5A4A">
      <w:pPr>
        <w:pStyle w:val="7"/>
        <w:numPr>
          <w:ilvl w:val="1"/>
          <w:numId w:val="6"/>
        </w:numPr>
        <w:tabs>
          <w:tab w:val="left" w:pos="1262"/>
        </w:tabs>
        <w:spacing w:before="3" w:line="360" w:lineRule="auto"/>
        <w:ind w:left="1262" w:hanging="605"/>
        <w:rPr>
          <w:sz w:val="21"/>
          <w:szCs w:val="21"/>
          <w:highlight w:val="none"/>
        </w:rPr>
      </w:pPr>
      <w:r>
        <w:rPr>
          <w:sz w:val="21"/>
          <w:szCs w:val="21"/>
          <w:highlight w:val="none"/>
        </w:rPr>
        <w:t>不可抗力</w:t>
      </w:r>
    </w:p>
    <w:p w14:paraId="2760F111">
      <w:pPr>
        <w:pStyle w:val="26"/>
        <w:numPr>
          <w:ilvl w:val="2"/>
          <w:numId w:val="6"/>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14:paraId="7DD85E4F">
      <w:pPr>
        <w:pStyle w:val="26"/>
        <w:numPr>
          <w:ilvl w:val="2"/>
          <w:numId w:val="6"/>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14:paraId="72D1EA91">
      <w:pPr>
        <w:pStyle w:val="26"/>
        <w:numPr>
          <w:ilvl w:val="2"/>
          <w:numId w:val="6"/>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14:paraId="1D3C0655">
      <w:pPr>
        <w:pStyle w:val="26"/>
        <w:numPr>
          <w:ilvl w:val="2"/>
          <w:numId w:val="6"/>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14:paraId="609C8AA0">
      <w:pPr>
        <w:pStyle w:val="7"/>
        <w:numPr>
          <w:ilvl w:val="1"/>
          <w:numId w:val="6"/>
        </w:numPr>
        <w:tabs>
          <w:tab w:val="left" w:pos="1262"/>
        </w:tabs>
        <w:spacing w:before="11" w:line="360" w:lineRule="auto"/>
        <w:ind w:left="1262" w:hanging="605"/>
        <w:rPr>
          <w:sz w:val="21"/>
          <w:szCs w:val="21"/>
          <w:highlight w:val="none"/>
        </w:rPr>
      </w:pPr>
      <w:r>
        <w:rPr>
          <w:sz w:val="21"/>
          <w:szCs w:val="21"/>
          <w:highlight w:val="none"/>
        </w:rPr>
        <w:t>税费</w:t>
      </w:r>
    </w:p>
    <w:p w14:paraId="7360AE59">
      <w:pPr>
        <w:pStyle w:val="10"/>
        <w:spacing w:before="161" w:line="360" w:lineRule="auto"/>
        <w:ind w:left="654"/>
        <w:rPr>
          <w:sz w:val="21"/>
          <w:szCs w:val="21"/>
          <w:highlight w:val="none"/>
        </w:rPr>
      </w:pPr>
      <w:r>
        <w:rPr>
          <w:sz w:val="21"/>
          <w:szCs w:val="21"/>
          <w:highlight w:val="none"/>
        </w:rPr>
        <w:t>与合同有关的一切税费，均按照中华人民共和国法律的相关规定缴纳。</w:t>
      </w:r>
    </w:p>
    <w:p w14:paraId="5113243A">
      <w:pPr>
        <w:pStyle w:val="7"/>
        <w:numPr>
          <w:ilvl w:val="1"/>
          <w:numId w:val="6"/>
        </w:numPr>
        <w:tabs>
          <w:tab w:val="left" w:pos="1262"/>
        </w:tabs>
        <w:spacing w:before="160" w:line="360" w:lineRule="auto"/>
        <w:ind w:left="1262" w:hanging="605"/>
        <w:rPr>
          <w:sz w:val="21"/>
          <w:szCs w:val="21"/>
          <w:highlight w:val="none"/>
        </w:rPr>
      </w:pPr>
      <w:r>
        <w:rPr>
          <w:sz w:val="21"/>
          <w:szCs w:val="21"/>
          <w:highlight w:val="none"/>
        </w:rPr>
        <w:t>乙方破产</w:t>
      </w:r>
    </w:p>
    <w:p w14:paraId="78FFDE55">
      <w:pPr>
        <w:pStyle w:val="10"/>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14:paraId="0F1C6545">
      <w:pPr>
        <w:pStyle w:val="7"/>
        <w:numPr>
          <w:ilvl w:val="1"/>
          <w:numId w:val="6"/>
        </w:numPr>
        <w:tabs>
          <w:tab w:val="left" w:pos="1262"/>
        </w:tabs>
        <w:spacing w:before="2" w:line="360" w:lineRule="auto"/>
        <w:ind w:left="1262" w:hanging="605"/>
        <w:rPr>
          <w:sz w:val="21"/>
          <w:szCs w:val="21"/>
          <w:highlight w:val="none"/>
        </w:rPr>
      </w:pPr>
      <w:r>
        <w:rPr>
          <w:sz w:val="21"/>
          <w:szCs w:val="21"/>
          <w:highlight w:val="none"/>
        </w:rPr>
        <w:t>合同中止、终止</w:t>
      </w:r>
    </w:p>
    <w:p w14:paraId="4A3BA8F9">
      <w:pPr>
        <w:pStyle w:val="26"/>
        <w:numPr>
          <w:ilvl w:val="2"/>
          <w:numId w:val="6"/>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14:paraId="75A2D41D">
      <w:pPr>
        <w:pStyle w:val="26"/>
        <w:numPr>
          <w:ilvl w:val="2"/>
          <w:numId w:val="6"/>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14:paraId="2D6475FC">
      <w:pPr>
        <w:pStyle w:val="7"/>
        <w:numPr>
          <w:ilvl w:val="1"/>
          <w:numId w:val="6"/>
        </w:numPr>
        <w:tabs>
          <w:tab w:val="left" w:pos="1262"/>
        </w:tabs>
        <w:spacing w:before="2" w:line="360" w:lineRule="auto"/>
        <w:ind w:left="1262" w:hanging="605"/>
        <w:rPr>
          <w:sz w:val="21"/>
          <w:szCs w:val="21"/>
          <w:highlight w:val="none"/>
        </w:rPr>
      </w:pPr>
      <w:r>
        <w:rPr>
          <w:sz w:val="21"/>
          <w:szCs w:val="21"/>
          <w:highlight w:val="none"/>
        </w:rPr>
        <w:t>检验和验收</w:t>
      </w:r>
    </w:p>
    <w:p w14:paraId="67C95634">
      <w:pPr>
        <w:pStyle w:val="26"/>
        <w:numPr>
          <w:ilvl w:val="2"/>
          <w:numId w:val="6"/>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14:paraId="5FB8CE05">
      <w:pPr>
        <w:pStyle w:val="26"/>
        <w:numPr>
          <w:ilvl w:val="2"/>
          <w:numId w:val="6"/>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14:paraId="72B59D8C">
      <w:pPr>
        <w:pStyle w:val="26"/>
        <w:numPr>
          <w:ilvl w:val="2"/>
          <w:numId w:val="6"/>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14:paraId="760D90F0">
      <w:pPr>
        <w:pStyle w:val="7"/>
        <w:numPr>
          <w:ilvl w:val="1"/>
          <w:numId w:val="6"/>
        </w:numPr>
        <w:tabs>
          <w:tab w:val="left" w:pos="1262"/>
        </w:tabs>
        <w:spacing w:before="3" w:line="360" w:lineRule="auto"/>
        <w:ind w:left="1262" w:hanging="605"/>
        <w:rPr>
          <w:sz w:val="21"/>
          <w:szCs w:val="21"/>
          <w:highlight w:val="none"/>
        </w:rPr>
      </w:pPr>
      <w:r>
        <w:rPr>
          <w:sz w:val="21"/>
          <w:szCs w:val="21"/>
          <w:highlight w:val="none"/>
        </w:rPr>
        <w:t>合同使用的文字和适用的法律</w:t>
      </w:r>
    </w:p>
    <w:p w14:paraId="7AE484B3">
      <w:pPr>
        <w:pStyle w:val="26"/>
        <w:numPr>
          <w:ilvl w:val="2"/>
          <w:numId w:val="6"/>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合同使用汉语书就、变更和解释；</w:t>
      </w:r>
    </w:p>
    <w:p w14:paraId="7FCEBB66">
      <w:pPr>
        <w:pStyle w:val="26"/>
        <w:numPr>
          <w:ilvl w:val="2"/>
          <w:numId w:val="6"/>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14:paraId="392A870F">
      <w:pPr>
        <w:pStyle w:val="7"/>
        <w:numPr>
          <w:ilvl w:val="1"/>
          <w:numId w:val="6"/>
        </w:numPr>
        <w:tabs>
          <w:tab w:val="left" w:pos="1262"/>
        </w:tabs>
        <w:spacing w:before="161" w:line="360" w:lineRule="auto"/>
        <w:ind w:left="1262" w:hanging="605"/>
        <w:rPr>
          <w:sz w:val="21"/>
          <w:szCs w:val="21"/>
          <w:highlight w:val="none"/>
        </w:rPr>
      </w:pPr>
      <w:r>
        <w:rPr>
          <w:sz w:val="21"/>
          <w:szCs w:val="21"/>
          <w:highlight w:val="none"/>
        </w:rPr>
        <w:t>履约保证金</w:t>
      </w:r>
    </w:p>
    <w:p w14:paraId="305C0A15">
      <w:pPr>
        <w:pStyle w:val="26"/>
        <w:numPr>
          <w:ilvl w:val="2"/>
          <w:numId w:val="6"/>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14:paraId="03DFC009">
      <w:pPr>
        <w:pStyle w:val="26"/>
        <w:numPr>
          <w:ilvl w:val="2"/>
          <w:numId w:val="6"/>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约定期间内不予退还或者应完全有效，前述约定期间届满之日起</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rPr>
        <w:t>个工作日内，甲方应将履约保证金退还乙方；</w:t>
      </w:r>
    </w:p>
    <w:p w14:paraId="2FA0BE61">
      <w:pPr>
        <w:pStyle w:val="26"/>
        <w:numPr>
          <w:ilvl w:val="2"/>
          <w:numId w:val="6"/>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14:paraId="48293DD9">
      <w:pPr>
        <w:pStyle w:val="7"/>
        <w:numPr>
          <w:ilvl w:val="1"/>
          <w:numId w:val="6"/>
        </w:numPr>
        <w:tabs>
          <w:tab w:val="left" w:pos="1262"/>
        </w:tabs>
        <w:spacing w:before="2" w:line="360" w:lineRule="auto"/>
        <w:ind w:left="1262" w:hanging="605"/>
        <w:rPr>
          <w:sz w:val="21"/>
          <w:szCs w:val="21"/>
          <w:highlight w:val="none"/>
        </w:rPr>
      </w:pPr>
      <w:r>
        <w:rPr>
          <w:sz w:val="21"/>
          <w:szCs w:val="21"/>
          <w:highlight w:val="none"/>
        </w:rPr>
        <w:t>合同份数</w:t>
      </w:r>
    </w:p>
    <w:p w14:paraId="2D520A91">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14:paraId="0BA16F36">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1A50004B">
      <w:pPr>
        <w:pStyle w:val="7"/>
        <w:spacing w:line="360" w:lineRule="auto"/>
        <w:ind w:left="3108"/>
        <w:rPr>
          <w:sz w:val="21"/>
          <w:szCs w:val="21"/>
          <w:highlight w:val="none"/>
        </w:rPr>
      </w:pPr>
      <w:r>
        <w:rPr>
          <w:sz w:val="21"/>
          <w:szCs w:val="21"/>
          <w:highlight w:val="none"/>
        </w:rPr>
        <w:t>第三部分 合同专用条款</w:t>
      </w:r>
    </w:p>
    <w:p w14:paraId="4AF35564">
      <w:pPr>
        <w:pStyle w:val="10"/>
        <w:spacing w:before="160" w:line="360" w:lineRule="auto"/>
        <w:ind w:right="238" w:firstLine="434"/>
        <w:rPr>
          <w:spacing w:val="-7"/>
          <w:sz w:val="21"/>
          <w:szCs w:val="21"/>
          <w:highlight w:val="none"/>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14:paraId="2B343F7D">
      <w:pPr>
        <w:pStyle w:val="10"/>
        <w:spacing w:before="160" w:line="360" w:lineRule="auto"/>
        <w:ind w:right="238" w:firstLine="434"/>
        <w:rPr>
          <w:spacing w:val="-7"/>
          <w:sz w:val="21"/>
          <w:szCs w:val="21"/>
          <w:highlight w:val="none"/>
        </w:rPr>
      </w:pPr>
    </w:p>
    <w:tbl>
      <w:tblPr>
        <w:tblStyle w:val="17"/>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67BD0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4D9C6469">
            <w:pPr>
              <w:pStyle w:val="25"/>
              <w:spacing w:before="40"/>
              <w:ind w:left="35"/>
              <w:rPr>
                <w:b/>
                <w:sz w:val="24"/>
                <w:highlight w:val="none"/>
                <w:lang w:eastAsia="en-US"/>
              </w:rPr>
            </w:pPr>
            <w:r>
              <w:rPr>
                <w:b/>
                <w:sz w:val="24"/>
                <w:highlight w:val="none"/>
                <w:lang w:eastAsia="en-US"/>
              </w:rPr>
              <w:t>条款号</w:t>
            </w:r>
          </w:p>
        </w:tc>
        <w:tc>
          <w:tcPr>
            <w:tcW w:w="7571" w:type="dxa"/>
          </w:tcPr>
          <w:p w14:paraId="6581B59D">
            <w:pPr>
              <w:pStyle w:val="25"/>
              <w:spacing w:before="40"/>
              <w:ind w:left="3280" w:right="3271"/>
              <w:jc w:val="center"/>
              <w:rPr>
                <w:b/>
                <w:sz w:val="24"/>
                <w:highlight w:val="none"/>
                <w:lang w:eastAsia="en-US"/>
              </w:rPr>
            </w:pPr>
            <w:r>
              <w:rPr>
                <w:b/>
                <w:sz w:val="24"/>
                <w:highlight w:val="none"/>
                <w:lang w:eastAsia="en-US"/>
              </w:rPr>
              <w:t>约定内容</w:t>
            </w:r>
          </w:p>
        </w:tc>
      </w:tr>
      <w:tr w14:paraId="151B6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519F901D">
            <w:pPr>
              <w:pStyle w:val="25"/>
              <w:rPr>
                <w:rFonts w:ascii="Times New Roman"/>
                <w:highlight w:val="none"/>
                <w:lang w:eastAsia="en-US"/>
              </w:rPr>
            </w:pPr>
          </w:p>
        </w:tc>
        <w:tc>
          <w:tcPr>
            <w:tcW w:w="7571" w:type="dxa"/>
          </w:tcPr>
          <w:p w14:paraId="14D2C188">
            <w:pPr>
              <w:pStyle w:val="25"/>
              <w:rPr>
                <w:rFonts w:ascii="Times New Roman"/>
                <w:highlight w:val="none"/>
                <w:lang w:eastAsia="en-US"/>
              </w:rPr>
            </w:pPr>
          </w:p>
        </w:tc>
      </w:tr>
      <w:tr w14:paraId="2B8DD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8" w:hRule="atLeast"/>
        </w:trPr>
        <w:tc>
          <w:tcPr>
            <w:tcW w:w="794" w:type="dxa"/>
            <w:tcBorders>
              <w:left w:val="single" w:color="000000" w:sz="4" w:space="0"/>
            </w:tcBorders>
          </w:tcPr>
          <w:p w14:paraId="6547E3B4">
            <w:pPr>
              <w:pStyle w:val="25"/>
              <w:rPr>
                <w:rFonts w:ascii="Times New Roman"/>
                <w:highlight w:val="none"/>
                <w:lang w:eastAsia="en-US"/>
              </w:rPr>
            </w:pPr>
          </w:p>
        </w:tc>
        <w:tc>
          <w:tcPr>
            <w:tcW w:w="7571" w:type="dxa"/>
          </w:tcPr>
          <w:p w14:paraId="6EFFF8F5">
            <w:pPr>
              <w:pStyle w:val="25"/>
              <w:rPr>
                <w:rFonts w:ascii="Times New Roman"/>
                <w:highlight w:val="none"/>
                <w:lang w:eastAsia="en-US"/>
              </w:rPr>
            </w:pPr>
          </w:p>
        </w:tc>
      </w:tr>
      <w:tr w14:paraId="4B3FD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547B442A">
            <w:pPr>
              <w:pStyle w:val="25"/>
              <w:rPr>
                <w:rFonts w:ascii="Times New Roman"/>
                <w:highlight w:val="none"/>
                <w:lang w:eastAsia="en-US"/>
              </w:rPr>
            </w:pPr>
          </w:p>
        </w:tc>
        <w:tc>
          <w:tcPr>
            <w:tcW w:w="7571" w:type="dxa"/>
          </w:tcPr>
          <w:p w14:paraId="5B8C7994">
            <w:pPr>
              <w:pStyle w:val="25"/>
              <w:rPr>
                <w:rFonts w:ascii="Times New Roman"/>
                <w:highlight w:val="none"/>
                <w:lang w:eastAsia="en-US"/>
              </w:rPr>
            </w:pPr>
          </w:p>
        </w:tc>
      </w:tr>
      <w:tr w14:paraId="2C2C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1F215EE7">
            <w:pPr>
              <w:pStyle w:val="25"/>
              <w:rPr>
                <w:rFonts w:ascii="Times New Roman"/>
                <w:highlight w:val="none"/>
                <w:lang w:eastAsia="en-US"/>
              </w:rPr>
            </w:pPr>
          </w:p>
        </w:tc>
        <w:tc>
          <w:tcPr>
            <w:tcW w:w="7571" w:type="dxa"/>
          </w:tcPr>
          <w:p w14:paraId="663925F7">
            <w:pPr>
              <w:pStyle w:val="25"/>
              <w:rPr>
                <w:rFonts w:ascii="Times New Roman"/>
                <w:highlight w:val="none"/>
                <w:lang w:eastAsia="en-US"/>
              </w:rPr>
            </w:pPr>
          </w:p>
        </w:tc>
      </w:tr>
      <w:tr w14:paraId="75E4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23C6F369">
            <w:pPr>
              <w:pStyle w:val="25"/>
              <w:rPr>
                <w:rFonts w:ascii="Times New Roman"/>
                <w:highlight w:val="none"/>
                <w:lang w:eastAsia="en-US"/>
              </w:rPr>
            </w:pPr>
          </w:p>
        </w:tc>
        <w:tc>
          <w:tcPr>
            <w:tcW w:w="7571" w:type="dxa"/>
          </w:tcPr>
          <w:p w14:paraId="2A560B32">
            <w:pPr>
              <w:pStyle w:val="25"/>
              <w:rPr>
                <w:rFonts w:ascii="Times New Roman"/>
                <w:highlight w:val="none"/>
                <w:lang w:eastAsia="en-US"/>
              </w:rPr>
            </w:pPr>
          </w:p>
        </w:tc>
      </w:tr>
      <w:tr w14:paraId="4D4B6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28466AA">
            <w:pPr>
              <w:pStyle w:val="25"/>
              <w:rPr>
                <w:rFonts w:ascii="Times New Roman"/>
                <w:highlight w:val="none"/>
                <w:lang w:eastAsia="en-US"/>
              </w:rPr>
            </w:pPr>
          </w:p>
        </w:tc>
        <w:tc>
          <w:tcPr>
            <w:tcW w:w="7571" w:type="dxa"/>
          </w:tcPr>
          <w:p w14:paraId="01684588">
            <w:pPr>
              <w:pStyle w:val="25"/>
              <w:rPr>
                <w:rFonts w:ascii="Times New Roman"/>
                <w:highlight w:val="none"/>
              </w:rPr>
            </w:pPr>
          </w:p>
        </w:tc>
      </w:tr>
      <w:tr w14:paraId="7F32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A6D5260">
            <w:pPr>
              <w:pStyle w:val="25"/>
              <w:rPr>
                <w:rFonts w:ascii="Times New Roman"/>
                <w:highlight w:val="none"/>
                <w:lang w:eastAsia="en-US"/>
              </w:rPr>
            </w:pPr>
          </w:p>
        </w:tc>
        <w:tc>
          <w:tcPr>
            <w:tcW w:w="7571" w:type="dxa"/>
          </w:tcPr>
          <w:p w14:paraId="32A6FAF1">
            <w:pPr>
              <w:pStyle w:val="25"/>
              <w:rPr>
                <w:rFonts w:ascii="Times New Roman"/>
                <w:highlight w:val="none"/>
                <w:lang w:eastAsia="en-US"/>
              </w:rPr>
            </w:pPr>
          </w:p>
        </w:tc>
      </w:tr>
      <w:tr w14:paraId="5B60B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47CE4EF1">
            <w:pPr>
              <w:pStyle w:val="25"/>
              <w:rPr>
                <w:rFonts w:ascii="Times New Roman"/>
                <w:highlight w:val="none"/>
                <w:lang w:eastAsia="en-US"/>
              </w:rPr>
            </w:pPr>
          </w:p>
        </w:tc>
        <w:tc>
          <w:tcPr>
            <w:tcW w:w="7571" w:type="dxa"/>
          </w:tcPr>
          <w:p w14:paraId="40C2C9D4">
            <w:pPr>
              <w:pStyle w:val="25"/>
              <w:rPr>
                <w:rFonts w:ascii="Times New Roman"/>
                <w:highlight w:val="none"/>
                <w:lang w:eastAsia="en-US"/>
              </w:rPr>
            </w:pPr>
          </w:p>
        </w:tc>
      </w:tr>
      <w:tr w14:paraId="328CD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698D5D08">
            <w:pPr>
              <w:pStyle w:val="25"/>
              <w:rPr>
                <w:rFonts w:ascii="Times New Roman"/>
                <w:highlight w:val="none"/>
                <w:lang w:eastAsia="en-US"/>
              </w:rPr>
            </w:pPr>
          </w:p>
        </w:tc>
        <w:tc>
          <w:tcPr>
            <w:tcW w:w="7571" w:type="dxa"/>
          </w:tcPr>
          <w:p w14:paraId="7E48CB83">
            <w:pPr>
              <w:pStyle w:val="25"/>
              <w:rPr>
                <w:rFonts w:ascii="Times New Roman"/>
                <w:highlight w:val="none"/>
                <w:lang w:eastAsia="en-US"/>
              </w:rPr>
            </w:pPr>
          </w:p>
        </w:tc>
      </w:tr>
      <w:tr w14:paraId="0469E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16DD5AE2">
            <w:pPr>
              <w:pStyle w:val="25"/>
              <w:rPr>
                <w:rFonts w:ascii="Times New Roman"/>
                <w:highlight w:val="none"/>
                <w:lang w:eastAsia="en-US"/>
              </w:rPr>
            </w:pPr>
          </w:p>
        </w:tc>
        <w:tc>
          <w:tcPr>
            <w:tcW w:w="7571" w:type="dxa"/>
          </w:tcPr>
          <w:p w14:paraId="5DC277E7">
            <w:pPr>
              <w:pStyle w:val="25"/>
              <w:rPr>
                <w:rFonts w:ascii="Times New Roman"/>
                <w:highlight w:val="none"/>
                <w:lang w:eastAsia="en-US"/>
              </w:rPr>
            </w:pPr>
          </w:p>
        </w:tc>
      </w:tr>
      <w:tr w14:paraId="39077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657BCB64">
            <w:pPr>
              <w:pStyle w:val="25"/>
              <w:rPr>
                <w:rFonts w:ascii="Times New Roman"/>
                <w:highlight w:val="none"/>
                <w:lang w:eastAsia="en-US"/>
              </w:rPr>
            </w:pPr>
          </w:p>
        </w:tc>
        <w:tc>
          <w:tcPr>
            <w:tcW w:w="7571" w:type="dxa"/>
          </w:tcPr>
          <w:p w14:paraId="66C6AAAF">
            <w:pPr>
              <w:pStyle w:val="25"/>
              <w:rPr>
                <w:rFonts w:ascii="Times New Roman"/>
                <w:highlight w:val="none"/>
                <w:lang w:eastAsia="en-US"/>
              </w:rPr>
            </w:pPr>
          </w:p>
        </w:tc>
      </w:tr>
      <w:tr w14:paraId="67224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16FBE1D4">
            <w:pPr>
              <w:pStyle w:val="25"/>
              <w:rPr>
                <w:rFonts w:ascii="Times New Roman"/>
                <w:highlight w:val="none"/>
              </w:rPr>
            </w:pPr>
          </w:p>
          <w:p w14:paraId="0FD8D0BA">
            <w:pPr>
              <w:pStyle w:val="25"/>
              <w:rPr>
                <w:rFonts w:ascii="Times New Roman"/>
                <w:highlight w:val="none"/>
              </w:rPr>
            </w:pPr>
          </w:p>
          <w:p w14:paraId="1D238772">
            <w:pPr>
              <w:pStyle w:val="25"/>
              <w:rPr>
                <w:rFonts w:ascii="Times New Roman"/>
                <w:highlight w:val="none"/>
              </w:rPr>
            </w:pPr>
          </w:p>
        </w:tc>
        <w:tc>
          <w:tcPr>
            <w:tcW w:w="7571" w:type="dxa"/>
          </w:tcPr>
          <w:p w14:paraId="6517A1F1">
            <w:pPr>
              <w:pStyle w:val="25"/>
              <w:rPr>
                <w:rFonts w:ascii="Times New Roman"/>
                <w:highlight w:val="none"/>
                <w:lang w:eastAsia="en-US"/>
              </w:rPr>
            </w:pPr>
          </w:p>
        </w:tc>
      </w:tr>
    </w:tbl>
    <w:p w14:paraId="2F86FE24">
      <w:pPr>
        <w:pStyle w:val="5"/>
        <w:tabs>
          <w:tab w:val="left" w:pos="1125"/>
        </w:tabs>
        <w:ind w:right="136"/>
        <w:jc w:val="center"/>
        <w:rPr>
          <w:rFonts w:ascii="宋体" w:hAnsi="宋体"/>
          <w:sz w:val="32"/>
          <w:szCs w:val="32"/>
          <w:highlight w:val="none"/>
        </w:rPr>
      </w:pPr>
    </w:p>
    <w:p w14:paraId="67BE4669">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25264AC5">
      <w:pPr>
        <w:pStyle w:val="5"/>
        <w:numPr>
          <w:ilvl w:val="0"/>
          <w:numId w:val="0"/>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159" w:name="_Toc19729"/>
      <w:r>
        <w:rPr>
          <w:rFonts w:hint="eastAsia" w:ascii="宋体" w:hAnsi="宋体" w:eastAsia="宋体" w:cs="Times New Roman"/>
          <w:b/>
          <w:bCs/>
          <w:kern w:val="44"/>
          <w:sz w:val="32"/>
          <w:szCs w:val="32"/>
          <w:lang w:val="en-US" w:eastAsia="zh-CN" w:bidi="ar-SA"/>
        </w:rPr>
        <w:t>第六章</w:t>
      </w:r>
      <w:r>
        <w:rPr>
          <w:rFonts w:hint="eastAsia" w:ascii="宋体" w:hAnsi="宋体"/>
          <w:sz w:val="32"/>
          <w:szCs w:val="32"/>
          <w:highlight w:val="none"/>
        </w:rPr>
        <w:t>响应文件格式</w:t>
      </w:r>
      <w:bookmarkEnd w:id="159"/>
    </w:p>
    <w:p w14:paraId="2F7F4480">
      <w:pPr>
        <w:rPr>
          <w:rFonts w:hint="eastAsia" w:ascii="宋体" w:hAnsi="宋体"/>
          <w:sz w:val="32"/>
          <w:szCs w:val="32"/>
          <w:highlight w:val="none"/>
        </w:rPr>
      </w:pPr>
    </w:p>
    <w:p w14:paraId="0825221E">
      <w:pPr>
        <w:pStyle w:val="16"/>
        <w:rPr>
          <w:rFonts w:hint="eastAsia" w:ascii="宋体" w:hAnsi="宋体"/>
          <w:sz w:val="32"/>
          <w:szCs w:val="32"/>
          <w:highlight w:val="none"/>
        </w:rPr>
      </w:pPr>
    </w:p>
    <w:p w14:paraId="1E3CA83E">
      <w:pPr>
        <w:rPr>
          <w:rFonts w:hint="eastAsia" w:ascii="宋体" w:hAnsi="宋体"/>
          <w:sz w:val="32"/>
          <w:szCs w:val="32"/>
          <w:highlight w:val="none"/>
        </w:rPr>
      </w:pPr>
    </w:p>
    <w:p w14:paraId="597AFEAA">
      <w:pPr>
        <w:pStyle w:val="16"/>
        <w:rPr>
          <w:rFonts w:hint="eastAsia"/>
          <w:highlight w:val="none"/>
        </w:rPr>
      </w:pPr>
    </w:p>
    <w:p w14:paraId="7C546D6A">
      <w:pPr>
        <w:jc w:val="center"/>
        <w:rPr>
          <w:rFonts w:ascii="宋体" w:hAnsi="宋体" w:cs="Arial"/>
          <w:sz w:val="28"/>
          <w:szCs w:val="28"/>
          <w:highlight w:val="none"/>
        </w:rPr>
      </w:pPr>
      <w:bookmarkStart w:id="160" w:name="_Toc13756_WPSOffice_Level1"/>
      <w:bookmarkStart w:id="161" w:name="_Toc32338_WPSOffice_Level1"/>
      <w:r>
        <w:rPr>
          <w:rFonts w:hint="eastAsia" w:ascii="宋体" w:hAnsi="宋体"/>
          <w:sz w:val="28"/>
          <w:szCs w:val="28"/>
          <w:highlight w:val="none"/>
          <w:u w:val="single"/>
        </w:rPr>
        <w:t>（项目名称）</w:t>
      </w:r>
      <w:bookmarkEnd w:id="160"/>
      <w:bookmarkEnd w:id="161"/>
    </w:p>
    <w:p w14:paraId="2197C4BB">
      <w:pPr>
        <w:jc w:val="center"/>
        <w:rPr>
          <w:rFonts w:ascii="宋体" w:hAnsi="宋体" w:cs="Arial"/>
          <w:b/>
          <w:sz w:val="28"/>
          <w:szCs w:val="28"/>
          <w:highlight w:val="none"/>
        </w:rPr>
      </w:pPr>
      <w:bookmarkStart w:id="162" w:name="_Hlk450146333"/>
    </w:p>
    <w:p w14:paraId="1B408DF3">
      <w:pPr>
        <w:jc w:val="center"/>
        <w:rPr>
          <w:rFonts w:ascii="宋体" w:hAnsi="宋体" w:cs="Arial"/>
          <w:sz w:val="28"/>
          <w:szCs w:val="28"/>
          <w:highlight w:val="none"/>
        </w:rPr>
      </w:pPr>
      <w:bookmarkStart w:id="163" w:name="_Toc18887_WPSOffice_Level1"/>
      <w:bookmarkStart w:id="164" w:name="_Toc361_WPSOffice_Level1"/>
      <w:r>
        <w:rPr>
          <w:rFonts w:hint="eastAsia" w:ascii="宋体" w:hAnsi="宋体" w:cs="Arial"/>
          <w:sz w:val="28"/>
          <w:szCs w:val="28"/>
          <w:highlight w:val="none"/>
        </w:rPr>
        <w:t xml:space="preserve">响 应 </w:t>
      </w:r>
      <w:bookmarkEnd w:id="162"/>
      <w:r>
        <w:rPr>
          <w:rFonts w:hint="eastAsia" w:ascii="宋体" w:hAnsi="宋体" w:cs="Arial"/>
          <w:sz w:val="28"/>
          <w:szCs w:val="28"/>
          <w:highlight w:val="none"/>
        </w:rPr>
        <w:t>文 件</w:t>
      </w:r>
      <w:bookmarkEnd w:id="163"/>
      <w:bookmarkEnd w:id="164"/>
    </w:p>
    <w:p w14:paraId="06E59D36">
      <w:pPr>
        <w:rPr>
          <w:rFonts w:ascii="宋体" w:hAnsi="宋体" w:cs="Arial"/>
          <w:sz w:val="28"/>
          <w:szCs w:val="28"/>
          <w:highlight w:val="none"/>
        </w:rPr>
      </w:pPr>
      <w:r>
        <w:rPr>
          <w:rFonts w:hint="eastAsia" w:ascii="宋体" w:hAnsi="宋体" w:cs="Arial"/>
          <w:sz w:val="28"/>
          <w:szCs w:val="28"/>
          <w:highlight w:val="none"/>
        </w:rPr>
        <w:t xml:space="preserve">               </w:t>
      </w:r>
    </w:p>
    <w:p w14:paraId="04D9121C">
      <w:pPr>
        <w:ind w:firstLine="1120" w:firstLineChars="400"/>
        <w:rPr>
          <w:rFonts w:ascii="宋体" w:hAnsi="宋体" w:cs="Arial"/>
          <w:sz w:val="28"/>
          <w:szCs w:val="28"/>
          <w:highlight w:val="none"/>
        </w:rPr>
      </w:pPr>
      <w:r>
        <w:rPr>
          <w:rFonts w:hint="eastAsia" w:ascii="宋体" w:hAnsi="宋体" w:cs="Arial"/>
          <w:sz w:val="28"/>
          <w:szCs w:val="28"/>
          <w:highlight w:val="none"/>
        </w:rPr>
        <w:t>项目编号：</w:t>
      </w:r>
      <w:r>
        <w:rPr>
          <w:rFonts w:hint="eastAsia" w:ascii="宋体" w:hAnsi="宋体" w:cs="Arial"/>
          <w:sz w:val="28"/>
          <w:szCs w:val="28"/>
          <w:highlight w:val="none"/>
          <w:u w:val="single"/>
        </w:rPr>
        <w:t xml:space="preserve">                         </w:t>
      </w:r>
    </w:p>
    <w:p w14:paraId="49BC8099">
      <w:pPr>
        <w:jc w:val="center"/>
        <w:rPr>
          <w:rFonts w:ascii="宋体" w:hAnsi="宋体" w:cs="Arial"/>
          <w:sz w:val="28"/>
          <w:szCs w:val="28"/>
          <w:highlight w:val="none"/>
        </w:rPr>
      </w:pPr>
    </w:p>
    <w:p w14:paraId="51012EA0">
      <w:pPr>
        <w:jc w:val="center"/>
        <w:rPr>
          <w:rFonts w:ascii="宋体" w:hAnsi="宋体" w:cs="Arial"/>
          <w:sz w:val="28"/>
          <w:szCs w:val="28"/>
          <w:highlight w:val="none"/>
        </w:rPr>
      </w:pPr>
    </w:p>
    <w:p w14:paraId="083743EA">
      <w:pPr>
        <w:ind w:firstLine="1120" w:firstLineChars="400"/>
        <w:rPr>
          <w:rFonts w:ascii="宋体" w:hAnsi="宋体"/>
          <w:sz w:val="28"/>
          <w:szCs w:val="28"/>
          <w:highlight w:val="none"/>
          <w:u w:val="single"/>
        </w:rPr>
      </w:pPr>
      <w:bookmarkStart w:id="165" w:name="_Toc13389_WPSOffice_Level1"/>
      <w:bookmarkStart w:id="166" w:name="_Toc4204_WPSOffice_Level1"/>
      <w:r>
        <w:rPr>
          <w:rFonts w:hint="eastAsia" w:ascii="宋体" w:hAnsi="宋体" w:cs="Arial"/>
          <w:sz w:val="28"/>
          <w:szCs w:val="28"/>
          <w:highlight w:val="none"/>
        </w:rPr>
        <w:t>采购人：</w:t>
      </w:r>
      <w:bookmarkEnd w:id="165"/>
      <w:bookmarkEnd w:id="166"/>
      <w:r>
        <w:rPr>
          <w:rFonts w:hint="eastAsia" w:ascii="宋体" w:hAnsi="宋体"/>
          <w:sz w:val="28"/>
          <w:szCs w:val="28"/>
          <w:highlight w:val="none"/>
          <w:u w:val="single"/>
        </w:rPr>
        <w:t xml:space="preserve">                               </w:t>
      </w:r>
    </w:p>
    <w:p w14:paraId="5136AAC7">
      <w:pPr>
        <w:ind w:firstLine="1540" w:firstLineChars="550"/>
        <w:rPr>
          <w:rFonts w:ascii="宋体" w:hAnsi="宋体" w:cs="Arial"/>
          <w:sz w:val="28"/>
          <w:szCs w:val="28"/>
          <w:highlight w:val="none"/>
        </w:rPr>
      </w:pPr>
    </w:p>
    <w:p w14:paraId="59AE4686">
      <w:pPr>
        <w:spacing w:line="460" w:lineRule="exact"/>
        <w:ind w:firstLine="1120" w:firstLineChars="400"/>
        <w:rPr>
          <w:rFonts w:ascii="宋体" w:hAnsi="宋体"/>
          <w:sz w:val="28"/>
          <w:szCs w:val="28"/>
          <w:highlight w:val="none"/>
        </w:rPr>
      </w:pPr>
      <w:bookmarkStart w:id="167" w:name="_Toc23736_WPSOffice_Level1"/>
      <w:bookmarkStart w:id="168" w:name="_Toc22977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167"/>
      <w:bookmarkEnd w:id="168"/>
    </w:p>
    <w:p w14:paraId="474D92F7">
      <w:pPr>
        <w:spacing w:line="460" w:lineRule="exact"/>
        <w:ind w:firstLine="854" w:firstLineChars="305"/>
        <w:rPr>
          <w:rFonts w:ascii="宋体" w:hAnsi="宋体"/>
          <w:sz w:val="28"/>
          <w:szCs w:val="28"/>
          <w:highlight w:val="none"/>
          <w:u w:val="single"/>
        </w:rPr>
      </w:pPr>
    </w:p>
    <w:p w14:paraId="316B4CBD">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169" w:name="_Toc7448_WPSOffice_Level1"/>
      <w:bookmarkStart w:id="170" w:name="_Toc22449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169"/>
      <w:bookmarkEnd w:id="170"/>
    </w:p>
    <w:p w14:paraId="3050CD51">
      <w:pPr>
        <w:spacing w:line="460" w:lineRule="exact"/>
        <w:rPr>
          <w:rFonts w:ascii="宋体" w:hAnsi="宋体"/>
          <w:sz w:val="28"/>
          <w:szCs w:val="28"/>
          <w:highlight w:val="none"/>
        </w:rPr>
      </w:pPr>
    </w:p>
    <w:p w14:paraId="0A4B3C22">
      <w:pPr>
        <w:spacing w:line="460" w:lineRule="exact"/>
        <w:ind w:firstLine="435"/>
        <w:rPr>
          <w:rFonts w:ascii="宋体" w:hAnsi="宋体"/>
          <w:sz w:val="28"/>
          <w:szCs w:val="28"/>
          <w:highlight w:val="none"/>
        </w:rPr>
      </w:pPr>
    </w:p>
    <w:p w14:paraId="0630B986">
      <w:pPr>
        <w:spacing w:line="460" w:lineRule="exact"/>
        <w:ind w:firstLine="435"/>
        <w:jc w:val="center"/>
        <w:rPr>
          <w:rFonts w:ascii="宋体" w:hAnsi="宋体"/>
          <w:sz w:val="28"/>
          <w:szCs w:val="28"/>
          <w:highlight w:val="none"/>
        </w:rPr>
      </w:pPr>
    </w:p>
    <w:p w14:paraId="01963D56">
      <w:pPr>
        <w:spacing w:line="460" w:lineRule="exact"/>
        <w:ind w:firstLine="435"/>
        <w:jc w:val="center"/>
        <w:rPr>
          <w:rFonts w:ascii="宋体" w:hAnsi="宋体"/>
          <w:sz w:val="28"/>
          <w:szCs w:val="28"/>
          <w:highlight w:val="none"/>
        </w:rPr>
      </w:pPr>
    </w:p>
    <w:p w14:paraId="10871853">
      <w:pPr>
        <w:spacing w:line="460" w:lineRule="exact"/>
        <w:ind w:firstLine="435"/>
        <w:jc w:val="center"/>
        <w:rPr>
          <w:rFonts w:ascii="宋体" w:hAnsi="宋体"/>
          <w:sz w:val="28"/>
          <w:szCs w:val="28"/>
          <w:highlight w:val="none"/>
        </w:rPr>
      </w:pPr>
    </w:p>
    <w:p w14:paraId="25F67EC8">
      <w:pPr>
        <w:spacing w:line="460" w:lineRule="exact"/>
        <w:ind w:firstLine="435"/>
        <w:jc w:val="center"/>
        <w:rPr>
          <w:rFonts w:ascii="宋体" w:hAnsi="宋体"/>
          <w:sz w:val="28"/>
          <w:szCs w:val="28"/>
          <w:highlight w:val="none"/>
        </w:rPr>
      </w:pPr>
      <w:bookmarkStart w:id="171" w:name="_Toc17804_WPSOffice_Level2"/>
      <w:bookmarkStart w:id="172" w:name="_Toc11712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171"/>
      <w:bookmarkEnd w:id="172"/>
    </w:p>
    <w:p w14:paraId="52524E5E">
      <w:pPr>
        <w:tabs>
          <w:tab w:val="left" w:pos="645"/>
          <w:tab w:val="left" w:pos="1286"/>
          <w:tab w:val="left" w:pos="1929"/>
        </w:tabs>
        <w:spacing w:before="54"/>
        <w:ind w:right="135"/>
        <w:jc w:val="center"/>
        <w:rPr>
          <w:rFonts w:ascii="宋体" w:hAnsi="宋体"/>
          <w:b/>
          <w:sz w:val="28"/>
          <w:szCs w:val="28"/>
          <w:highlight w:val="none"/>
        </w:rPr>
      </w:pPr>
    </w:p>
    <w:p w14:paraId="3CC54926">
      <w:pPr>
        <w:jc w:val="center"/>
        <w:rPr>
          <w:rFonts w:ascii="宋体" w:hAnsi="宋体"/>
          <w:sz w:val="28"/>
          <w:szCs w:val="28"/>
          <w:highlight w:val="none"/>
        </w:rPr>
        <w:sectPr>
          <w:pgSz w:w="11910" w:h="16840"/>
          <w:pgMar w:top="1400" w:right="1440" w:bottom="1220" w:left="1580" w:header="877" w:footer="1033" w:gutter="0"/>
          <w:pgNumType w:fmt="decimal"/>
          <w:cols w:space="720" w:num="1"/>
        </w:sectPr>
      </w:pPr>
    </w:p>
    <w:p w14:paraId="65A0C64B">
      <w:pPr>
        <w:jc w:val="center"/>
        <w:outlineLvl w:val="2"/>
        <w:rPr>
          <w:b/>
          <w:sz w:val="28"/>
          <w:szCs w:val="28"/>
          <w:highlight w:val="none"/>
        </w:rPr>
      </w:pPr>
      <w:r>
        <w:rPr>
          <w:b/>
          <w:sz w:val="28"/>
          <w:szCs w:val="28"/>
          <w:highlight w:val="none"/>
        </w:rPr>
        <w:t>一、报价表格式</w:t>
      </w:r>
    </w:p>
    <w:p w14:paraId="56DFE11E">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14:paraId="14B470E0">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5789FDFC">
      <w:pPr>
        <w:autoSpaceDE w:val="0"/>
        <w:autoSpaceDN w:val="0"/>
        <w:spacing w:line="360" w:lineRule="auto"/>
        <w:ind w:left="29" w:leftChars="14" w:firstLine="211" w:firstLineChars="100"/>
        <w:jc w:val="left"/>
        <w:rPr>
          <w:b/>
          <w:sz w:val="21"/>
          <w:szCs w:val="21"/>
          <w:highlight w:val="none"/>
        </w:rPr>
      </w:pPr>
      <w:r>
        <w:rPr>
          <w:rFonts w:ascii="宋体" w:hAnsi="宋体" w:cs="宋体"/>
          <w:b/>
          <w:kern w:val="0"/>
          <w:highlight w:val="none"/>
          <w:lang w:val="zh-CN" w:bidi="zh-CN"/>
        </w:rPr>
        <w:t>项目编号：</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hint="eastAsia" w:ascii="宋体" w:hAnsi="宋体" w:cs="宋体"/>
          <w:b/>
          <w:kern w:val="0"/>
          <w:highlight w:val="none"/>
          <w:u w:val="singl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219C9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23BEF7ED">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560FD58A">
            <w:pPr>
              <w:pStyle w:val="25"/>
              <w:spacing w:line="360" w:lineRule="auto"/>
              <w:rPr>
                <w:sz w:val="21"/>
                <w:szCs w:val="21"/>
                <w:highlight w:val="none"/>
                <w:lang w:eastAsia="en-US"/>
              </w:rPr>
            </w:pPr>
          </w:p>
        </w:tc>
      </w:tr>
      <w:tr w14:paraId="02425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552BA21E">
            <w:pPr>
              <w:pStyle w:val="25"/>
              <w:spacing w:before="11" w:line="360" w:lineRule="auto"/>
              <w:rPr>
                <w:b/>
                <w:sz w:val="21"/>
                <w:szCs w:val="21"/>
                <w:highlight w:val="none"/>
                <w:lang w:eastAsia="en-US"/>
              </w:rPr>
            </w:pPr>
          </w:p>
          <w:p w14:paraId="5F61FEFB">
            <w:pPr>
              <w:pStyle w:val="25"/>
              <w:spacing w:line="360" w:lineRule="auto"/>
              <w:ind w:left="243" w:right="238"/>
              <w:jc w:val="center"/>
              <w:rPr>
                <w:b/>
                <w:sz w:val="21"/>
                <w:szCs w:val="21"/>
                <w:highlight w:val="none"/>
                <w:lang w:eastAsia="en-US"/>
              </w:rPr>
            </w:pPr>
            <w:r>
              <w:rPr>
                <w:rFonts w:hint="eastAsia"/>
                <w:b/>
                <w:sz w:val="21"/>
                <w:szCs w:val="21"/>
                <w:highlight w:val="none"/>
                <w:lang w:eastAsia="zh-CN"/>
              </w:rPr>
              <w:t>谈判</w:t>
            </w:r>
            <w:r>
              <w:rPr>
                <w:b/>
                <w:sz w:val="21"/>
                <w:szCs w:val="21"/>
                <w:highlight w:val="none"/>
                <w:lang w:eastAsia="en-US"/>
              </w:rPr>
              <w:t>范围</w:t>
            </w:r>
          </w:p>
        </w:tc>
        <w:tc>
          <w:tcPr>
            <w:tcW w:w="6064" w:type="dxa"/>
            <w:shd w:val="clear" w:color="auto" w:fill="auto"/>
          </w:tcPr>
          <w:p w14:paraId="31F39DF3">
            <w:pPr>
              <w:pStyle w:val="25"/>
              <w:spacing w:before="11" w:line="360" w:lineRule="auto"/>
              <w:rPr>
                <w:b/>
                <w:sz w:val="21"/>
                <w:szCs w:val="21"/>
                <w:highlight w:val="none"/>
                <w:lang w:eastAsia="en-US"/>
              </w:rPr>
            </w:pPr>
          </w:p>
          <w:p w14:paraId="1F697999">
            <w:pPr>
              <w:pStyle w:val="25"/>
              <w:tabs>
                <w:tab w:val="left" w:pos="1547"/>
              </w:tabs>
              <w:spacing w:line="360" w:lineRule="auto"/>
              <w:ind w:left="107"/>
              <w:rPr>
                <w:sz w:val="21"/>
                <w:szCs w:val="21"/>
                <w:highlight w:val="none"/>
                <w:lang w:eastAsia="en-US"/>
              </w:rPr>
            </w:pPr>
            <w:r>
              <w:rPr>
                <w:sz w:val="21"/>
                <w:szCs w:val="21"/>
                <w:highlight w:val="none"/>
                <w:lang w:eastAsia="en-US"/>
              </w:rPr>
              <w:t xml:space="preserve">全部 </w:t>
            </w:r>
          </w:p>
        </w:tc>
      </w:tr>
      <w:tr w14:paraId="2848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2B71D751">
            <w:pPr>
              <w:pStyle w:val="25"/>
              <w:spacing w:before="7" w:line="360" w:lineRule="auto"/>
              <w:rPr>
                <w:b/>
                <w:sz w:val="21"/>
                <w:szCs w:val="21"/>
                <w:highlight w:val="none"/>
              </w:rPr>
            </w:pPr>
          </w:p>
          <w:p w14:paraId="39C13875">
            <w:pPr>
              <w:pStyle w:val="25"/>
              <w:spacing w:line="360" w:lineRule="auto"/>
              <w:ind w:left="245" w:right="235"/>
              <w:jc w:val="center"/>
              <w:rPr>
                <w:b/>
                <w:sz w:val="21"/>
                <w:szCs w:val="21"/>
                <w:highlight w:val="none"/>
              </w:rPr>
            </w:pPr>
            <w:r>
              <w:rPr>
                <w:b/>
                <w:sz w:val="21"/>
                <w:szCs w:val="21"/>
                <w:highlight w:val="none"/>
              </w:rPr>
              <w:t>报价</w:t>
            </w:r>
          </w:p>
          <w:p w14:paraId="7C6287E8">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31299B21">
            <w:pPr>
              <w:pStyle w:val="25"/>
              <w:spacing w:line="360" w:lineRule="auto"/>
              <w:rPr>
                <w:b/>
                <w:sz w:val="21"/>
                <w:szCs w:val="21"/>
                <w:highlight w:val="none"/>
              </w:rPr>
            </w:pPr>
          </w:p>
          <w:p w14:paraId="217FD8B1">
            <w:pPr>
              <w:pStyle w:val="25"/>
              <w:spacing w:before="9" w:line="360" w:lineRule="auto"/>
              <w:rPr>
                <w:b/>
                <w:sz w:val="21"/>
                <w:szCs w:val="21"/>
                <w:highlight w:val="none"/>
              </w:rPr>
            </w:pPr>
          </w:p>
          <w:p w14:paraId="16021028">
            <w:pPr>
              <w:pStyle w:val="25"/>
              <w:tabs>
                <w:tab w:val="left" w:pos="4482"/>
              </w:tabs>
              <w:spacing w:line="360" w:lineRule="auto"/>
              <w:ind w:left="107"/>
              <w:rPr>
                <w:rFonts w:hint="eastAsia" w:eastAsia="宋体"/>
                <w:sz w:val="21"/>
                <w:szCs w:val="21"/>
                <w:highlight w:val="none"/>
                <w:lang w:val="en-US" w:eastAsia="zh-CN"/>
              </w:rPr>
            </w:pPr>
            <w:r>
              <w:rPr>
                <w:rFonts w:hint="eastAsia"/>
              </w:rPr>
              <w:t>人民币或（大写）</w:t>
            </w:r>
            <w:r>
              <w:rPr>
                <w:u w:val="single"/>
              </w:rPr>
              <w:t xml:space="preserve">           </w:t>
            </w:r>
            <w:r>
              <w:rPr>
                <w:rFonts w:hint="eastAsia"/>
              </w:rPr>
              <w:t>（小写</w:t>
            </w:r>
            <w:r>
              <w:rPr>
                <w:u w:val="single"/>
              </w:rPr>
              <w:t xml:space="preserve">            </w:t>
            </w:r>
            <w:r>
              <w:rPr>
                <w:rFonts w:hint="eastAsia"/>
              </w:rPr>
              <w:t>）元</w:t>
            </w:r>
          </w:p>
        </w:tc>
      </w:tr>
      <w:tr w14:paraId="3B1AF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1E679EFE">
            <w:pPr>
              <w:pStyle w:val="25"/>
              <w:spacing w:line="360" w:lineRule="auto"/>
              <w:rPr>
                <w:b/>
                <w:sz w:val="21"/>
                <w:szCs w:val="21"/>
                <w:highlight w:val="none"/>
              </w:rPr>
            </w:pPr>
          </w:p>
          <w:p w14:paraId="0837807A">
            <w:pPr>
              <w:pStyle w:val="25"/>
              <w:spacing w:line="360" w:lineRule="auto"/>
              <w:rPr>
                <w:b/>
                <w:sz w:val="21"/>
                <w:szCs w:val="21"/>
                <w:highlight w:val="none"/>
              </w:rPr>
            </w:pPr>
          </w:p>
          <w:p w14:paraId="6DDD4088">
            <w:pPr>
              <w:pStyle w:val="25"/>
              <w:spacing w:line="360" w:lineRule="auto"/>
              <w:rPr>
                <w:b/>
                <w:sz w:val="21"/>
                <w:szCs w:val="21"/>
                <w:highlight w:val="none"/>
              </w:rPr>
            </w:pPr>
          </w:p>
          <w:p w14:paraId="5DE7F6B9">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6A6BB535">
            <w:pPr>
              <w:pStyle w:val="25"/>
              <w:spacing w:line="360" w:lineRule="auto"/>
              <w:rPr>
                <w:sz w:val="21"/>
                <w:szCs w:val="21"/>
                <w:highlight w:val="none"/>
                <w:lang w:eastAsia="en-US"/>
              </w:rPr>
            </w:pPr>
          </w:p>
        </w:tc>
      </w:tr>
    </w:tbl>
    <w:p w14:paraId="7FBD4ACE">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077FC15E">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410A5D82">
      <w:pPr>
        <w:pStyle w:val="10"/>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61A3CBCF">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14:paraId="2BA8FDF4">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w:t>
      </w:r>
      <w:r>
        <w:rPr>
          <w:rFonts w:hint="eastAsia" w:ascii="宋体" w:hAnsi="宋体" w:cs="宋体"/>
          <w:b/>
          <w:kern w:val="0"/>
          <w:highlight w:val="none"/>
          <w:lang w:val="zh-CN" w:bidi="zh-CN"/>
        </w:rPr>
        <w:t>谈判</w:t>
      </w:r>
      <w:r>
        <w:rPr>
          <w:rFonts w:ascii="宋体" w:hAnsi="宋体" w:cs="宋体"/>
          <w:b/>
          <w:kern w:val="0"/>
          <w:highlight w:val="none"/>
          <w:lang w:val="zh-CN" w:bidi="zh-CN"/>
        </w:rPr>
        <w:t>文件要求包括了服务及其配套的设计、采购、制造、 检测、试验、运输、保险、仓储、税费以及现场落地、安装及安装耗损、调试、验收、培训、技术服务（包括技术资料、图纸的提供）质保期内的售后服务保障等所有费用。</w:t>
      </w:r>
    </w:p>
    <w:p w14:paraId="4294C957">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14:paraId="208ACB3A">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3、</w:t>
      </w:r>
      <w:r>
        <w:rPr>
          <w:rFonts w:ascii="宋体" w:hAnsi="宋体" w:cs="宋体"/>
          <w:b/>
          <w:kern w:val="0"/>
          <w:highlight w:val="none"/>
          <w:lang w:val="zh-CN" w:bidi="zh-CN"/>
        </w:rPr>
        <w:t>供应商应根据其响应文件中报价表的内容填写唱标信息，唱标信息不作为评审的依据。唱标信息与报价表不一致的，以报价表为准。</w:t>
      </w:r>
    </w:p>
    <w:p w14:paraId="7A68ABFC">
      <w:pPr>
        <w:jc w:val="center"/>
        <w:outlineLvl w:val="2"/>
        <w:rPr>
          <w:rFonts w:hint="eastAsia"/>
          <w:b/>
          <w:sz w:val="28"/>
          <w:szCs w:val="28"/>
          <w:highlight w:val="none"/>
          <w:lang w:val="en-US" w:eastAsia="zh-CN"/>
        </w:rPr>
      </w:pPr>
    </w:p>
    <w:p w14:paraId="176D49EE">
      <w:pPr>
        <w:jc w:val="center"/>
        <w:outlineLvl w:val="2"/>
        <w:rPr>
          <w:rFonts w:hint="eastAsia"/>
          <w:b/>
          <w:sz w:val="28"/>
          <w:szCs w:val="28"/>
          <w:highlight w:val="none"/>
          <w:lang w:val="en-US" w:eastAsia="zh-CN"/>
        </w:rPr>
      </w:pPr>
    </w:p>
    <w:p w14:paraId="64F39EBE">
      <w:pPr>
        <w:jc w:val="center"/>
        <w:outlineLvl w:val="2"/>
        <w:rPr>
          <w:rFonts w:hint="eastAsia"/>
          <w:b/>
          <w:sz w:val="28"/>
          <w:szCs w:val="28"/>
          <w:highlight w:val="none"/>
          <w:lang w:val="en-US" w:eastAsia="zh-CN"/>
        </w:rPr>
      </w:pPr>
    </w:p>
    <w:p w14:paraId="662561CA">
      <w:pPr>
        <w:jc w:val="center"/>
        <w:outlineLvl w:val="2"/>
        <w:rPr>
          <w:rFonts w:hint="eastAsia"/>
          <w:b/>
          <w:sz w:val="28"/>
          <w:szCs w:val="28"/>
          <w:highlight w:val="none"/>
          <w:lang w:val="en-US" w:eastAsia="zh-CN"/>
        </w:rPr>
      </w:pPr>
    </w:p>
    <w:p w14:paraId="6D01A08C">
      <w:pPr>
        <w:jc w:val="center"/>
        <w:outlineLvl w:val="2"/>
        <w:rPr>
          <w:rFonts w:hint="eastAsia"/>
          <w:b/>
          <w:sz w:val="28"/>
          <w:szCs w:val="28"/>
          <w:highlight w:val="none"/>
          <w:lang w:val="en-US" w:eastAsia="zh-CN"/>
        </w:rPr>
      </w:pPr>
    </w:p>
    <w:p w14:paraId="4D6425FE">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14:paraId="73421FD8">
      <w:pPr>
        <w:pStyle w:val="22"/>
        <w:rPr>
          <w:rFonts w:hint="eastAsia"/>
          <w:b/>
          <w:sz w:val="28"/>
          <w:szCs w:val="28"/>
          <w:highlight w:val="none"/>
          <w:lang w:val="en-US" w:eastAsia="zh-CN"/>
        </w:rPr>
      </w:pPr>
    </w:p>
    <w:p w14:paraId="17364827">
      <w:pPr>
        <w:pStyle w:val="22"/>
        <w:ind w:firstLine="309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14:paraId="4977B989">
      <w:pPr>
        <w:pStyle w:val="22"/>
        <w:ind w:firstLine="2319" w:firstLineChars="1100"/>
        <w:jc w:val="both"/>
        <w:rPr>
          <w:rFonts w:hint="default" w:ascii="宋体" w:hAnsi="宋体" w:eastAsia="宋体" w:cs="宋体"/>
          <w:b/>
          <w:kern w:val="0"/>
          <w:sz w:val="21"/>
          <w:szCs w:val="21"/>
          <w:highlight w:val="none"/>
          <w:lang w:val="en-US" w:eastAsia="zh-CN" w:bidi="zh-CN"/>
        </w:rPr>
      </w:pPr>
    </w:p>
    <w:p w14:paraId="5EDEACE7">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627017F5">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项目编号：</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hint="eastAsia" w:ascii="宋体" w:hAnsi="宋体" w:cs="宋体"/>
          <w:b/>
          <w:kern w:val="0"/>
          <w:highlight w:val="none"/>
          <w:u w:val="single"/>
          <w:lang w:val="en-US" w:bidi="zh-CN"/>
        </w:rPr>
        <w:t xml:space="preserve">                 </w:t>
      </w:r>
      <w:r>
        <w:rPr>
          <w:rFonts w:ascii="宋体" w:hAnsi="宋体" w:cs="宋体"/>
          <w:b/>
          <w:kern w:val="0"/>
          <w:highlight w:val="none"/>
          <w:lang w:val="zh-CN" w:bidi="zh-CN"/>
        </w:rPr>
        <w:tab/>
      </w:r>
      <w:r>
        <w:rPr>
          <w:rFonts w:hint="eastAsia" w:ascii="宋体" w:hAnsi="宋体" w:cs="宋体"/>
          <w:b/>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00091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38DA9BD">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0EC6500F">
            <w:pPr>
              <w:pStyle w:val="25"/>
              <w:spacing w:line="360" w:lineRule="auto"/>
              <w:rPr>
                <w:sz w:val="21"/>
                <w:szCs w:val="21"/>
                <w:highlight w:val="none"/>
                <w:lang w:eastAsia="en-US"/>
              </w:rPr>
            </w:pPr>
          </w:p>
        </w:tc>
      </w:tr>
      <w:tr w14:paraId="0F850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5BF787E7">
            <w:pPr>
              <w:pStyle w:val="25"/>
              <w:spacing w:before="11" w:line="360" w:lineRule="auto"/>
              <w:rPr>
                <w:b/>
                <w:sz w:val="21"/>
                <w:szCs w:val="21"/>
                <w:highlight w:val="none"/>
                <w:lang w:eastAsia="en-US"/>
              </w:rPr>
            </w:pPr>
          </w:p>
          <w:p w14:paraId="753E9398">
            <w:pPr>
              <w:pStyle w:val="25"/>
              <w:spacing w:line="360" w:lineRule="auto"/>
              <w:ind w:left="243" w:right="238"/>
              <w:jc w:val="center"/>
              <w:rPr>
                <w:b/>
                <w:sz w:val="21"/>
                <w:szCs w:val="21"/>
                <w:highlight w:val="none"/>
                <w:lang w:eastAsia="en-US"/>
              </w:rPr>
            </w:pPr>
            <w:r>
              <w:rPr>
                <w:rFonts w:hint="eastAsia"/>
                <w:b/>
                <w:sz w:val="21"/>
                <w:szCs w:val="21"/>
                <w:highlight w:val="none"/>
                <w:lang w:eastAsia="zh-CN"/>
              </w:rPr>
              <w:t>谈判</w:t>
            </w:r>
            <w:r>
              <w:rPr>
                <w:b/>
                <w:sz w:val="21"/>
                <w:szCs w:val="21"/>
                <w:highlight w:val="none"/>
                <w:lang w:eastAsia="en-US"/>
              </w:rPr>
              <w:t>范围</w:t>
            </w:r>
          </w:p>
        </w:tc>
        <w:tc>
          <w:tcPr>
            <w:tcW w:w="6064" w:type="dxa"/>
            <w:shd w:val="clear" w:color="auto" w:fill="auto"/>
          </w:tcPr>
          <w:p w14:paraId="4580047D">
            <w:pPr>
              <w:pStyle w:val="25"/>
              <w:spacing w:before="11" w:line="360" w:lineRule="auto"/>
              <w:rPr>
                <w:b/>
                <w:sz w:val="21"/>
                <w:szCs w:val="21"/>
                <w:highlight w:val="none"/>
                <w:lang w:eastAsia="en-US"/>
              </w:rPr>
            </w:pPr>
          </w:p>
          <w:p w14:paraId="63512F1A">
            <w:pPr>
              <w:pStyle w:val="25"/>
              <w:tabs>
                <w:tab w:val="left" w:pos="1547"/>
              </w:tabs>
              <w:spacing w:line="360" w:lineRule="auto"/>
              <w:ind w:left="107"/>
              <w:rPr>
                <w:sz w:val="21"/>
                <w:szCs w:val="21"/>
                <w:highlight w:val="none"/>
                <w:lang w:eastAsia="en-US"/>
              </w:rPr>
            </w:pPr>
            <w:r>
              <w:rPr>
                <w:sz w:val="21"/>
                <w:szCs w:val="21"/>
                <w:highlight w:val="none"/>
                <w:lang w:eastAsia="en-US"/>
              </w:rPr>
              <w:t>全部</w:t>
            </w:r>
          </w:p>
        </w:tc>
      </w:tr>
      <w:tr w14:paraId="0DE55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34561D27">
            <w:pPr>
              <w:pStyle w:val="25"/>
              <w:spacing w:before="7" w:line="360" w:lineRule="auto"/>
              <w:rPr>
                <w:b/>
                <w:sz w:val="21"/>
                <w:szCs w:val="21"/>
                <w:highlight w:val="none"/>
              </w:rPr>
            </w:pPr>
          </w:p>
          <w:p w14:paraId="24414676">
            <w:pPr>
              <w:pStyle w:val="25"/>
              <w:spacing w:line="360" w:lineRule="auto"/>
              <w:ind w:left="245" w:right="235"/>
              <w:jc w:val="center"/>
              <w:rPr>
                <w:b/>
                <w:sz w:val="21"/>
                <w:szCs w:val="21"/>
                <w:highlight w:val="none"/>
              </w:rPr>
            </w:pPr>
            <w:r>
              <w:rPr>
                <w:b/>
                <w:sz w:val="21"/>
                <w:szCs w:val="21"/>
                <w:highlight w:val="none"/>
              </w:rPr>
              <w:t>报价</w:t>
            </w:r>
          </w:p>
          <w:p w14:paraId="745E671F">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5B4AF113">
            <w:pPr>
              <w:pStyle w:val="25"/>
              <w:spacing w:line="360" w:lineRule="auto"/>
              <w:rPr>
                <w:b/>
                <w:sz w:val="21"/>
                <w:szCs w:val="21"/>
                <w:highlight w:val="none"/>
              </w:rPr>
            </w:pPr>
          </w:p>
          <w:p w14:paraId="6C8167B4">
            <w:pPr>
              <w:pStyle w:val="25"/>
              <w:spacing w:before="9" w:line="360" w:lineRule="auto"/>
              <w:rPr>
                <w:b/>
                <w:sz w:val="21"/>
                <w:szCs w:val="21"/>
                <w:highlight w:val="none"/>
              </w:rPr>
            </w:pPr>
          </w:p>
          <w:p w14:paraId="09519AD6">
            <w:pPr>
              <w:pStyle w:val="25"/>
              <w:tabs>
                <w:tab w:val="left" w:pos="4482"/>
              </w:tabs>
              <w:spacing w:line="360" w:lineRule="auto"/>
              <w:ind w:left="107"/>
              <w:rPr>
                <w:rFonts w:hint="eastAsia" w:eastAsia="宋体"/>
                <w:sz w:val="21"/>
                <w:szCs w:val="21"/>
                <w:highlight w:val="none"/>
                <w:lang w:val="en-US" w:eastAsia="zh-CN"/>
              </w:rPr>
            </w:pPr>
            <w:r>
              <w:rPr>
                <w:rFonts w:hint="eastAsia"/>
              </w:rPr>
              <w:t>人民币或（大写）</w:t>
            </w:r>
            <w:r>
              <w:rPr>
                <w:u w:val="single"/>
              </w:rPr>
              <w:t xml:space="preserve">           </w:t>
            </w:r>
            <w:r>
              <w:rPr>
                <w:rFonts w:hint="eastAsia"/>
              </w:rPr>
              <w:t>（小写</w:t>
            </w:r>
            <w:r>
              <w:rPr>
                <w:u w:val="single"/>
              </w:rPr>
              <w:t xml:space="preserve">            </w:t>
            </w:r>
            <w:r>
              <w:rPr>
                <w:rFonts w:hint="eastAsia"/>
              </w:rPr>
              <w:t>）元</w:t>
            </w:r>
          </w:p>
        </w:tc>
      </w:tr>
      <w:tr w14:paraId="1793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788C133C">
            <w:pPr>
              <w:pStyle w:val="25"/>
              <w:spacing w:line="360" w:lineRule="auto"/>
              <w:rPr>
                <w:b/>
                <w:sz w:val="21"/>
                <w:szCs w:val="21"/>
                <w:highlight w:val="none"/>
              </w:rPr>
            </w:pPr>
          </w:p>
          <w:p w14:paraId="663FF764">
            <w:pPr>
              <w:pStyle w:val="25"/>
              <w:spacing w:line="360" w:lineRule="auto"/>
              <w:rPr>
                <w:b/>
                <w:sz w:val="21"/>
                <w:szCs w:val="21"/>
                <w:highlight w:val="none"/>
              </w:rPr>
            </w:pPr>
          </w:p>
          <w:p w14:paraId="7A82EB91">
            <w:pPr>
              <w:pStyle w:val="25"/>
              <w:spacing w:line="360" w:lineRule="auto"/>
              <w:rPr>
                <w:b/>
                <w:sz w:val="21"/>
                <w:szCs w:val="21"/>
                <w:highlight w:val="none"/>
              </w:rPr>
            </w:pPr>
          </w:p>
          <w:p w14:paraId="2254F0B2">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55B25CA7">
            <w:pPr>
              <w:pStyle w:val="25"/>
              <w:spacing w:line="360" w:lineRule="auto"/>
              <w:rPr>
                <w:sz w:val="21"/>
                <w:szCs w:val="21"/>
                <w:highlight w:val="none"/>
                <w:lang w:eastAsia="en-US"/>
              </w:rPr>
            </w:pPr>
          </w:p>
        </w:tc>
      </w:tr>
    </w:tbl>
    <w:p w14:paraId="6C17A52F">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59201979">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52499F29">
      <w:pPr>
        <w:pStyle w:val="10"/>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4CBD2809">
      <w:pPr>
        <w:pStyle w:val="10"/>
        <w:tabs>
          <w:tab w:val="left" w:pos="6705"/>
        </w:tabs>
        <w:spacing w:line="360" w:lineRule="auto"/>
        <w:ind w:right="1223" w:firstLine="4620" w:firstLineChars="2200"/>
        <w:rPr>
          <w:rFonts w:hint="eastAsia"/>
          <w:sz w:val="21"/>
          <w:szCs w:val="21"/>
          <w:highlight w:val="none"/>
          <w:u w:val="single"/>
        </w:rPr>
      </w:pPr>
    </w:p>
    <w:p w14:paraId="2E62C2F5">
      <w:pPr>
        <w:autoSpaceDE w:val="0"/>
        <w:autoSpaceDN w:val="0"/>
        <w:spacing w:before="120" w:beforeLines="50" w:after="120" w:afterLines="50" w:line="360" w:lineRule="auto"/>
        <w:ind w:right="210" w:rightChars="100" w:firstLine="422" w:firstLineChars="200"/>
        <w:jc w:val="left"/>
        <w:rPr>
          <w:rFonts w:hint="eastAsia" w:ascii="宋体" w:hAnsi="宋体" w:cs="宋体"/>
          <w:b/>
          <w:kern w:val="0"/>
          <w:highlight w:val="none"/>
          <w:lang w:val="zh-CN" w:bidi="zh-CN"/>
        </w:rPr>
      </w:pPr>
      <w:r>
        <w:rPr>
          <w:rFonts w:hint="eastAsia" w:ascii="宋体" w:hAnsi="宋体" w:cs="宋体"/>
          <w:b/>
          <w:kern w:val="0"/>
          <w:highlight w:val="none"/>
          <w:lang w:val="en-US" w:eastAsia="zh-CN" w:bidi="zh-CN"/>
        </w:rPr>
        <w:t>1、</w:t>
      </w:r>
      <w:r>
        <w:rPr>
          <w:rFonts w:hint="eastAsia" w:ascii="宋体" w:hAnsi="宋体" w:cs="宋体"/>
          <w:b/>
          <w:kern w:val="0"/>
          <w:highlight w:val="none"/>
          <w:lang w:val="zh-CN" w:bidi="zh-CN"/>
        </w:rPr>
        <w:t>考虑谈判报价的方便，供应商在填写最后承诺报价后，（第一次报价-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60E61EE5">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en-US" w:eastAsia="zh-CN" w:bidi="zh-CN"/>
        </w:rPr>
        <w:t>2、</w:t>
      </w: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14:paraId="6FA83E22">
      <w:pPr>
        <w:pStyle w:val="22"/>
        <w:rPr>
          <w:highlight w:val="none"/>
        </w:rPr>
      </w:pPr>
    </w:p>
    <w:p w14:paraId="00B7465A">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w:t>
      </w:r>
      <w:r>
        <w:rPr>
          <w:rFonts w:hint="eastAsia"/>
          <w:b/>
          <w:sz w:val="28"/>
          <w:szCs w:val="28"/>
          <w:highlight w:val="none"/>
          <w:lang w:eastAsia="zh-CN"/>
        </w:rPr>
        <w:t>谈判</w:t>
      </w:r>
      <w:r>
        <w:rPr>
          <w:b/>
          <w:sz w:val="28"/>
          <w:szCs w:val="28"/>
          <w:highlight w:val="none"/>
        </w:rPr>
        <w:t>响应函</w:t>
      </w:r>
    </w:p>
    <w:p w14:paraId="7A416CEA">
      <w:pPr>
        <w:spacing w:before="240" w:beforeLines="100" w:after="240" w:afterLines="100" w:line="360" w:lineRule="auto"/>
        <w:rPr>
          <w:b/>
          <w:highlight w:val="none"/>
        </w:rPr>
      </w:pPr>
      <w:r>
        <w:rPr>
          <w:b/>
          <w:highlight w:val="none"/>
        </w:rPr>
        <w:t xml:space="preserve">致： </w:t>
      </w:r>
      <w:r>
        <w:rPr>
          <w:rFonts w:hint="eastAsia"/>
          <w:b/>
          <w:highlight w:val="none"/>
        </w:rPr>
        <w:t>（采购人）</w:t>
      </w:r>
    </w:p>
    <w:p w14:paraId="4396DB1C">
      <w:pPr>
        <w:pStyle w:val="10"/>
        <w:spacing w:before="2" w:line="360" w:lineRule="auto"/>
        <w:ind w:left="700"/>
        <w:rPr>
          <w:sz w:val="21"/>
          <w:szCs w:val="21"/>
          <w:highlight w:val="none"/>
        </w:rPr>
      </w:pPr>
      <w:r>
        <w:rPr>
          <w:sz w:val="21"/>
          <w:szCs w:val="21"/>
          <w:highlight w:val="none"/>
        </w:rPr>
        <w:t>根据贵方的竞争性</w:t>
      </w:r>
      <w:r>
        <w:rPr>
          <w:rFonts w:hint="eastAsia"/>
          <w:sz w:val="21"/>
          <w:szCs w:val="21"/>
          <w:highlight w:val="none"/>
          <w:lang w:eastAsia="zh-CN"/>
        </w:rPr>
        <w:t>谈判</w:t>
      </w:r>
      <w:r>
        <w:rPr>
          <w:sz w:val="21"/>
          <w:szCs w:val="21"/>
          <w:highlight w:val="none"/>
        </w:rPr>
        <w:t>公告，我方兹宣布同意如下：</w:t>
      </w:r>
    </w:p>
    <w:p w14:paraId="01ECF03A">
      <w:pPr>
        <w:pStyle w:val="27"/>
        <w:numPr>
          <w:ilvl w:val="2"/>
          <w:numId w:val="7"/>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w:t>
      </w:r>
      <w:r>
        <w:rPr>
          <w:rFonts w:hint="eastAsia"/>
          <w:spacing w:val="-11"/>
          <w:sz w:val="21"/>
          <w:szCs w:val="21"/>
          <w:highlight w:val="none"/>
          <w:lang w:eastAsia="zh-CN"/>
        </w:rPr>
        <w:t>谈判</w:t>
      </w:r>
      <w:r>
        <w:rPr>
          <w:spacing w:val="-11"/>
          <w:sz w:val="21"/>
          <w:szCs w:val="21"/>
          <w:highlight w:val="none"/>
        </w:rPr>
        <w:t>文件规定缴纳履约保证金和成交服</w:t>
      </w:r>
      <w:r>
        <w:rPr>
          <w:sz w:val="21"/>
          <w:szCs w:val="21"/>
          <w:highlight w:val="none"/>
        </w:rPr>
        <w:t>务费。按本次</w:t>
      </w:r>
      <w:r>
        <w:rPr>
          <w:rFonts w:hint="eastAsia"/>
          <w:sz w:val="21"/>
          <w:szCs w:val="21"/>
          <w:highlight w:val="none"/>
          <w:lang w:eastAsia="zh-CN"/>
        </w:rPr>
        <w:t>谈判</w:t>
      </w:r>
      <w:r>
        <w:rPr>
          <w:sz w:val="21"/>
          <w:szCs w:val="21"/>
          <w:highlight w:val="none"/>
        </w:rPr>
        <w:t>文件规定及最后报价承诺供货及安装。</w:t>
      </w:r>
    </w:p>
    <w:p w14:paraId="55022562">
      <w:pPr>
        <w:pStyle w:val="27"/>
        <w:numPr>
          <w:ilvl w:val="2"/>
          <w:numId w:val="7"/>
        </w:numPr>
        <w:tabs>
          <w:tab w:val="left" w:pos="942"/>
        </w:tabs>
        <w:spacing w:before="1" w:line="360" w:lineRule="auto"/>
        <w:ind w:right="361" w:firstLine="479"/>
        <w:rPr>
          <w:sz w:val="21"/>
          <w:szCs w:val="21"/>
          <w:highlight w:val="none"/>
        </w:rPr>
      </w:pPr>
      <w:r>
        <w:rPr>
          <w:spacing w:val="-1"/>
          <w:sz w:val="21"/>
          <w:szCs w:val="21"/>
          <w:highlight w:val="none"/>
        </w:rPr>
        <w:t>我方根据本次</w:t>
      </w:r>
      <w:r>
        <w:rPr>
          <w:rFonts w:hint="eastAsia"/>
          <w:spacing w:val="-1"/>
          <w:sz w:val="21"/>
          <w:szCs w:val="21"/>
          <w:highlight w:val="none"/>
          <w:lang w:eastAsia="zh-CN"/>
        </w:rPr>
        <w:t>谈判</w:t>
      </w:r>
      <w:r>
        <w:rPr>
          <w:spacing w:val="-1"/>
          <w:sz w:val="21"/>
          <w:szCs w:val="21"/>
          <w:highlight w:val="none"/>
        </w:rPr>
        <w:t>文件的规定，严格履行合同的责任和义务,并保证于买</w:t>
      </w:r>
      <w:r>
        <w:rPr>
          <w:sz w:val="21"/>
          <w:szCs w:val="21"/>
          <w:highlight w:val="none"/>
        </w:rPr>
        <w:t>方要求的日期内完成服务，并通过买方验收。</w:t>
      </w:r>
    </w:p>
    <w:p w14:paraId="35EE5382">
      <w:pPr>
        <w:pStyle w:val="27"/>
        <w:numPr>
          <w:ilvl w:val="2"/>
          <w:numId w:val="7"/>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14:paraId="6BAECCBB">
      <w:pPr>
        <w:pStyle w:val="27"/>
        <w:numPr>
          <w:ilvl w:val="2"/>
          <w:numId w:val="7"/>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w:t>
      </w:r>
      <w:r>
        <w:rPr>
          <w:rFonts w:hint="eastAsia"/>
          <w:spacing w:val="-6"/>
          <w:sz w:val="21"/>
          <w:szCs w:val="21"/>
          <w:highlight w:val="none"/>
          <w:lang w:eastAsia="zh-CN"/>
        </w:rPr>
        <w:t>谈判</w:t>
      </w:r>
      <w:r>
        <w:rPr>
          <w:spacing w:val="-6"/>
          <w:sz w:val="21"/>
          <w:szCs w:val="21"/>
          <w:highlight w:val="none"/>
        </w:rPr>
        <w:t>文件，包括</w:t>
      </w:r>
      <w:r>
        <w:rPr>
          <w:rFonts w:hint="eastAsia"/>
          <w:spacing w:val="-6"/>
          <w:sz w:val="21"/>
          <w:szCs w:val="21"/>
          <w:highlight w:val="none"/>
          <w:lang w:eastAsia="zh-CN"/>
        </w:rPr>
        <w:t>谈判</w:t>
      </w:r>
      <w:r>
        <w:rPr>
          <w:spacing w:val="-6"/>
          <w:sz w:val="21"/>
          <w:szCs w:val="21"/>
          <w:highlight w:val="none"/>
        </w:rPr>
        <w:t>文件附件、参考资料、</w:t>
      </w:r>
      <w:r>
        <w:rPr>
          <w:rFonts w:hint="eastAsia"/>
          <w:spacing w:val="-6"/>
          <w:sz w:val="21"/>
          <w:szCs w:val="21"/>
          <w:highlight w:val="none"/>
          <w:lang w:eastAsia="zh-CN"/>
        </w:rPr>
        <w:t>谈判</w:t>
      </w:r>
      <w:r>
        <w:rPr>
          <w:spacing w:val="-6"/>
          <w:sz w:val="21"/>
          <w:szCs w:val="21"/>
          <w:highlight w:val="none"/>
        </w:rPr>
        <w:t>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w:t>
      </w:r>
      <w:r>
        <w:rPr>
          <w:rFonts w:hint="eastAsia"/>
          <w:sz w:val="21"/>
          <w:szCs w:val="21"/>
          <w:highlight w:val="none"/>
          <w:lang w:eastAsia="zh-CN"/>
        </w:rPr>
        <w:t>谈判</w:t>
      </w:r>
      <w:r>
        <w:rPr>
          <w:sz w:val="21"/>
          <w:szCs w:val="21"/>
          <w:highlight w:val="none"/>
        </w:rPr>
        <w:t>文件，并对</w:t>
      </w:r>
      <w:r>
        <w:rPr>
          <w:rFonts w:hint="eastAsia"/>
          <w:sz w:val="21"/>
          <w:szCs w:val="21"/>
          <w:highlight w:val="none"/>
          <w:lang w:eastAsia="zh-CN"/>
        </w:rPr>
        <w:t>谈判</w:t>
      </w:r>
      <w:r>
        <w:rPr>
          <w:sz w:val="21"/>
          <w:szCs w:val="21"/>
          <w:highlight w:val="none"/>
        </w:rPr>
        <w:t>文件各项</w:t>
      </w:r>
      <w:r>
        <w:rPr>
          <w:spacing w:val="-17"/>
          <w:sz w:val="21"/>
          <w:szCs w:val="21"/>
          <w:highlight w:val="none"/>
        </w:rPr>
        <w:t>条款、规定及要求均无异议。我方知道必须放弃提出含糊不清或误解问题的权利。</w:t>
      </w:r>
    </w:p>
    <w:p w14:paraId="59653BD3">
      <w:pPr>
        <w:pStyle w:val="27"/>
        <w:numPr>
          <w:ilvl w:val="2"/>
          <w:numId w:val="7"/>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w:t>
      </w:r>
      <w:r>
        <w:rPr>
          <w:rFonts w:hint="eastAsia"/>
          <w:spacing w:val="-5"/>
          <w:sz w:val="21"/>
          <w:szCs w:val="21"/>
          <w:highlight w:val="none"/>
          <w:lang w:eastAsia="zh-CN"/>
        </w:rPr>
        <w:t>谈判</w:t>
      </w:r>
      <w:r>
        <w:rPr>
          <w:spacing w:val="-5"/>
          <w:sz w:val="21"/>
          <w:szCs w:val="21"/>
          <w:highlight w:val="none"/>
        </w:rPr>
        <w:t>日期起遵循本</w:t>
      </w:r>
      <w:r>
        <w:rPr>
          <w:rFonts w:hint="eastAsia"/>
          <w:spacing w:val="-5"/>
          <w:sz w:val="21"/>
          <w:szCs w:val="21"/>
          <w:highlight w:val="none"/>
          <w:lang w:eastAsia="zh-CN"/>
        </w:rPr>
        <w:t>谈判</w:t>
      </w:r>
      <w:r>
        <w:rPr>
          <w:spacing w:val="-5"/>
          <w:sz w:val="21"/>
          <w:szCs w:val="21"/>
          <w:highlight w:val="none"/>
        </w:rPr>
        <w:t>文件，并在供应商须</w:t>
      </w:r>
      <w:r>
        <w:rPr>
          <w:sz w:val="21"/>
          <w:szCs w:val="21"/>
          <w:highlight w:val="none"/>
        </w:rPr>
        <w:t>知规定的</w:t>
      </w:r>
      <w:r>
        <w:rPr>
          <w:rFonts w:hint="eastAsia"/>
          <w:sz w:val="21"/>
          <w:szCs w:val="21"/>
          <w:highlight w:val="none"/>
          <w:lang w:eastAsia="zh-CN"/>
        </w:rPr>
        <w:t>谈判</w:t>
      </w:r>
      <w:r>
        <w:rPr>
          <w:sz w:val="21"/>
          <w:szCs w:val="21"/>
          <w:highlight w:val="none"/>
        </w:rPr>
        <w:t>有效期之前均具有约束力。</w:t>
      </w:r>
    </w:p>
    <w:p w14:paraId="1AD3009D">
      <w:pPr>
        <w:pStyle w:val="27"/>
        <w:numPr>
          <w:ilvl w:val="2"/>
          <w:numId w:val="7"/>
        </w:numPr>
        <w:tabs>
          <w:tab w:val="left" w:pos="946"/>
        </w:tabs>
        <w:spacing w:before="2" w:line="360" w:lineRule="auto"/>
        <w:ind w:right="350" w:firstLine="479"/>
        <w:rPr>
          <w:sz w:val="21"/>
          <w:szCs w:val="21"/>
          <w:highlight w:val="none"/>
        </w:rPr>
      </w:pPr>
      <w:r>
        <w:rPr>
          <w:spacing w:val="4"/>
          <w:sz w:val="21"/>
          <w:szCs w:val="21"/>
          <w:highlight w:val="none"/>
        </w:rPr>
        <w:t>我方同意按贵方要求在</w:t>
      </w:r>
      <w:r>
        <w:rPr>
          <w:rFonts w:hint="eastAsia"/>
          <w:spacing w:val="4"/>
          <w:sz w:val="21"/>
          <w:szCs w:val="21"/>
          <w:highlight w:val="none"/>
          <w:lang w:eastAsia="zh-CN"/>
        </w:rPr>
        <w:t>谈判</w:t>
      </w:r>
      <w:r>
        <w:rPr>
          <w:spacing w:val="4"/>
          <w:sz w:val="21"/>
          <w:szCs w:val="21"/>
          <w:highlight w:val="none"/>
        </w:rPr>
        <w:t>现场规定时间内向贵方提供与其</w:t>
      </w:r>
      <w:r>
        <w:rPr>
          <w:rFonts w:hint="eastAsia"/>
          <w:spacing w:val="4"/>
          <w:sz w:val="21"/>
          <w:szCs w:val="21"/>
          <w:highlight w:val="none"/>
          <w:lang w:eastAsia="zh-CN"/>
        </w:rPr>
        <w:t>谈判</w:t>
      </w:r>
      <w:r>
        <w:rPr>
          <w:spacing w:val="4"/>
          <w:sz w:val="21"/>
          <w:szCs w:val="21"/>
          <w:highlight w:val="none"/>
        </w:rPr>
        <w:t>有关的</w:t>
      </w:r>
      <w:r>
        <w:rPr>
          <w:sz w:val="21"/>
          <w:szCs w:val="21"/>
          <w:highlight w:val="none"/>
        </w:rPr>
        <w:t>任何证据或补充资料，否则，我方的响应文件可被贵方拒绝。</w:t>
      </w:r>
    </w:p>
    <w:p w14:paraId="66F10C18">
      <w:pPr>
        <w:pStyle w:val="27"/>
        <w:numPr>
          <w:ilvl w:val="2"/>
          <w:numId w:val="7"/>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w:t>
      </w:r>
      <w:r>
        <w:rPr>
          <w:rFonts w:hint="eastAsia"/>
          <w:sz w:val="21"/>
          <w:szCs w:val="21"/>
          <w:highlight w:val="none"/>
          <w:lang w:eastAsia="zh-CN"/>
        </w:rPr>
        <w:t>谈判</w:t>
      </w:r>
      <w:r>
        <w:rPr>
          <w:sz w:val="21"/>
          <w:szCs w:val="21"/>
          <w:highlight w:val="none"/>
        </w:rPr>
        <w:t>。</w:t>
      </w:r>
    </w:p>
    <w:p w14:paraId="2F0C1516">
      <w:pPr>
        <w:pStyle w:val="27"/>
        <w:numPr>
          <w:ilvl w:val="2"/>
          <w:numId w:val="7"/>
        </w:numPr>
        <w:tabs>
          <w:tab w:val="left" w:pos="942"/>
        </w:tabs>
        <w:spacing w:before="161" w:line="360" w:lineRule="auto"/>
        <w:ind w:left="941" w:hanging="242"/>
        <w:rPr>
          <w:sz w:val="21"/>
          <w:szCs w:val="21"/>
          <w:highlight w:val="none"/>
        </w:rPr>
      </w:pPr>
      <w:r>
        <w:rPr>
          <w:sz w:val="21"/>
          <w:szCs w:val="21"/>
          <w:highlight w:val="none"/>
        </w:rPr>
        <w:t>我方同意</w:t>
      </w:r>
      <w:r>
        <w:rPr>
          <w:rFonts w:hint="eastAsia"/>
          <w:sz w:val="21"/>
          <w:szCs w:val="21"/>
          <w:highlight w:val="none"/>
          <w:lang w:eastAsia="zh-CN"/>
        </w:rPr>
        <w:t>谈判</w:t>
      </w:r>
      <w:r>
        <w:rPr>
          <w:sz w:val="21"/>
          <w:szCs w:val="21"/>
          <w:highlight w:val="none"/>
        </w:rPr>
        <w:t>文件规定的付款方式、服务期限。</w:t>
      </w:r>
    </w:p>
    <w:p w14:paraId="5F1F5425">
      <w:pPr>
        <w:pStyle w:val="27"/>
        <w:numPr>
          <w:ilvl w:val="2"/>
          <w:numId w:val="7"/>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14:paraId="6DFF0129">
      <w:pPr>
        <w:pStyle w:val="27"/>
        <w:numPr>
          <w:ilvl w:val="2"/>
          <w:numId w:val="7"/>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w:t>
      </w:r>
      <w:r>
        <w:rPr>
          <w:rFonts w:hint="eastAsia"/>
          <w:sz w:val="21"/>
          <w:szCs w:val="21"/>
          <w:highlight w:val="none"/>
          <w:lang w:eastAsia="zh-CN"/>
        </w:rPr>
        <w:t>谈判</w:t>
      </w:r>
      <w:r>
        <w:rPr>
          <w:sz w:val="21"/>
          <w:szCs w:val="21"/>
          <w:highlight w:val="none"/>
        </w:rPr>
        <w:t>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14:paraId="47B373DB">
      <w:pPr>
        <w:pStyle w:val="27"/>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14:paraId="552F4C15">
      <w:pPr>
        <w:pStyle w:val="27"/>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14:paraId="019F81C2">
      <w:pPr>
        <w:pStyle w:val="10"/>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14:paraId="43FE41EC">
      <w:pPr>
        <w:pStyle w:val="10"/>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4CDF113F">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092223DE">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14:paraId="28BB09A9">
      <w:pPr>
        <w:spacing w:line="360" w:lineRule="auto"/>
        <w:jc w:val="left"/>
        <w:rPr>
          <w:rFonts w:ascii="宋体" w:hAnsi="宋体" w:cs="黑体"/>
          <w:highlight w:val="none"/>
        </w:rPr>
      </w:pPr>
    </w:p>
    <w:p w14:paraId="7AB2BC53">
      <w:pPr>
        <w:spacing w:line="360" w:lineRule="auto"/>
        <w:jc w:val="center"/>
        <w:rPr>
          <w:rFonts w:ascii="宋体" w:hAnsi="宋体" w:cs="黑体"/>
          <w:highlight w:val="none"/>
        </w:rPr>
      </w:pPr>
      <w:r>
        <w:rPr>
          <w:rFonts w:hint="eastAsia" w:ascii="宋体" w:hAnsi="宋体" w:cs="黑体"/>
          <w:highlight w:val="none"/>
        </w:rPr>
        <w:t>供应商诚信承诺书</w:t>
      </w:r>
    </w:p>
    <w:p w14:paraId="028F91C6">
      <w:pPr>
        <w:pStyle w:val="29"/>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14:paraId="3081E35B">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14:paraId="4446C716">
      <w:pPr>
        <w:spacing w:line="360" w:lineRule="auto"/>
        <w:ind w:firstLine="420" w:firstLineChars="200"/>
        <w:rPr>
          <w:rFonts w:ascii="宋体" w:hAnsi="宋体" w:cs="仿宋"/>
          <w:highlight w:val="none"/>
        </w:rPr>
      </w:pPr>
      <w:r>
        <w:rPr>
          <w:rFonts w:hint="eastAsia" w:ascii="宋体" w:hAnsi="宋体" w:cs="仿宋"/>
          <w:highlight w:val="none"/>
        </w:rPr>
        <w:t>1. 提供的所有资料都是真实有效。如被发现提供虚假资料或虚假承诺（声明），同意取消</w:t>
      </w:r>
      <w:r>
        <w:rPr>
          <w:rFonts w:hint="eastAsia" w:ascii="宋体" w:hAnsi="宋体" w:cs="仿宋"/>
          <w:highlight w:val="none"/>
          <w:lang w:eastAsia="zh-CN"/>
        </w:rPr>
        <w:t>谈判</w:t>
      </w:r>
      <w:r>
        <w:rPr>
          <w:rFonts w:hint="eastAsia" w:ascii="宋体" w:hAnsi="宋体" w:cs="仿宋"/>
          <w:highlight w:val="none"/>
        </w:rPr>
        <w:t>和成交候选人资格。</w:t>
      </w:r>
    </w:p>
    <w:p w14:paraId="0B6BDB02">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w:t>
      </w:r>
      <w:r>
        <w:rPr>
          <w:rFonts w:hint="eastAsia" w:ascii="宋体" w:hAnsi="宋体" w:cs="仿宋"/>
          <w:highlight w:val="none"/>
          <w:lang w:eastAsia="zh-CN"/>
        </w:rPr>
        <w:t>谈判</w:t>
      </w:r>
      <w:r>
        <w:rPr>
          <w:rFonts w:hint="eastAsia" w:ascii="宋体" w:hAnsi="宋体" w:cs="仿宋"/>
          <w:highlight w:val="none"/>
        </w:rPr>
        <w:t>和成交候选人资格。</w:t>
      </w:r>
    </w:p>
    <w:p w14:paraId="668B4683">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0A905E68">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14:paraId="43BD2800">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w:t>
      </w:r>
      <w:r>
        <w:rPr>
          <w:rFonts w:hint="eastAsia" w:ascii="宋体" w:hAnsi="宋体" w:cs="仿宋"/>
          <w:highlight w:val="none"/>
          <w:lang w:eastAsia="zh-CN"/>
        </w:rPr>
        <w:t>谈判</w:t>
      </w:r>
      <w:r>
        <w:rPr>
          <w:rFonts w:hint="eastAsia" w:ascii="宋体" w:hAnsi="宋体" w:cs="仿宋"/>
          <w:highlight w:val="none"/>
        </w:rPr>
        <w:t>或被行政主管部门、监督管理部门等暂停、取消公共资源交易资格且在限制期内仍参与</w:t>
      </w:r>
      <w:r>
        <w:rPr>
          <w:rFonts w:hint="eastAsia" w:ascii="宋体" w:hAnsi="宋体" w:cs="仿宋"/>
          <w:highlight w:val="none"/>
          <w:lang w:eastAsia="zh-CN"/>
        </w:rPr>
        <w:t>谈判</w:t>
      </w:r>
      <w:r>
        <w:rPr>
          <w:rFonts w:hint="eastAsia" w:ascii="宋体" w:hAnsi="宋体" w:cs="仿宋"/>
          <w:highlight w:val="none"/>
        </w:rPr>
        <w:t>的情形视为弄虚作假，愿意接受处理。</w:t>
      </w:r>
    </w:p>
    <w:p w14:paraId="138B2B2D">
      <w:pPr>
        <w:spacing w:line="360" w:lineRule="auto"/>
        <w:ind w:firstLine="420" w:firstLineChars="200"/>
        <w:rPr>
          <w:rFonts w:ascii="宋体" w:hAnsi="宋体" w:cs="仿宋"/>
          <w:highlight w:val="none"/>
        </w:rPr>
      </w:pPr>
      <w:r>
        <w:rPr>
          <w:rFonts w:hint="eastAsia" w:ascii="宋体" w:hAnsi="宋体" w:cs="仿宋"/>
          <w:highlight w:val="none"/>
        </w:rPr>
        <w:t>6、我方参与</w:t>
      </w:r>
      <w:r>
        <w:rPr>
          <w:rFonts w:hint="eastAsia" w:ascii="宋体" w:hAnsi="宋体" w:cs="仿宋"/>
          <w:highlight w:val="none"/>
          <w:lang w:eastAsia="zh-CN"/>
        </w:rPr>
        <w:t>谈判</w:t>
      </w:r>
      <w:r>
        <w:rPr>
          <w:rFonts w:hint="eastAsia" w:ascii="宋体" w:hAnsi="宋体" w:cs="仿宋"/>
          <w:highlight w:val="none"/>
        </w:rPr>
        <w:t>如出现报价高于或等于该项目最高限价的情形，同意视为串通投标并接受处理。</w:t>
      </w:r>
    </w:p>
    <w:p w14:paraId="090315D8">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14:paraId="198E9EE7">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14:paraId="7859FFB6">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14:paraId="05BA74AD">
      <w:pPr>
        <w:spacing w:line="360" w:lineRule="auto"/>
        <w:ind w:firstLine="420" w:firstLineChars="200"/>
        <w:rPr>
          <w:rFonts w:ascii="宋体" w:hAnsi="宋体" w:cs="华文仿宋"/>
          <w:kern w:val="0"/>
          <w:highlight w:val="none"/>
        </w:rPr>
      </w:pPr>
    </w:p>
    <w:p w14:paraId="48DBE5B4">
      <w:pPr>
        <w:pStyle w:val="29"/>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14:paraId="671CDF24">
      <w:pPr>
        <w:pStyle w:val="29"/>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14:paraId="1307D551">
      <w:pPr>
        <w:pStyle w:val="29"/>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14:paraId="7F28D1B3">
      <w:pPr>
        <w:widowControl/>
        <w:jc w:val="center"/>
        <w:rPr>
          <w:rFonts w:ascii="宋体" w:hAnsi="宋体"/>
          <w:b/>
          <w:bCs/>
          <w:highlight w:val="none"/>
        </w:rPr>
      </w:pPr>
      <w:r>
        <w:rPr>
          <w:rFonts w:ascii="宋体" w:hAnsi="宋体" w:cs="宋体"/>
          <w:highlight w:val="none"/>
        </w:rPr>
        <w:br w:type="page"/>
      </w:r>
    </w:p>
    <w:p w14:paraId="1627EC70">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14:paraId="77F9AB38">
      <w:pPr>
        <w:pStyle w:val="10"/>
        <w:spacing w:line="360" w:lineRule="auto"/>
        <w:rPr>
          <w:b/>
          <w:sz w:val="21"/>
          <w:szCs w:val="21"/>
          <w:highlight w:val="none"/>
        </w:rPr>
      </w:pPr>
    </w:p>
    <w:p w14:paraId="3C505A89">
      <w:pPr>
        <w:pStyle w:val="10"/>
        <w:spacing w:before="11" w:line="360" w:lineRule="auto"/>
        <w:rPr>
          <w:b/>
          <w:sz w:val="21"/>
          <w:szCs w:val="21"/>
          <w:highlight w:val="none"/>
        </w:rPr>
      </w:pPr>
    </w:p>
    <w:p w14:paraId="607D9804">
      <w:pPr>
        <w:pStyle w:val="10"/>
        <w:spacing w:line="360" w:lineRule="auto"/>
        <w:rPr>
          <w:b/>
          <w:sz w:val="21"/>
          <w:szCs w:val="21"/>
          <w:highlight w:val="none"/>
          <w:lang w:val="en-US"/>
        </w:rPr>
      </w:pPr>
    </w:p>
    <w:p w14:paraId="4EEA4170">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采购项目活动（项目编号</w:t>
      </w:r>
      <w:r>
        <w:rPr>
          <w:rFonts w:hint="eastAsia" w:ascii="宋体" w:hAnsi="宋体"/>
          <w:highlight w:val="none"/>
          <w:u w:val="single"/>
        </w:rPr>
        <w:t xml:space="preserve">：             </w:t>
      </w:r>
      <w:r>
        <w:rPr>
          <w:rFonts w:hint="eastAsia" w:ascii="宋体" w:hAnsi="宋体"/>
          <w:highlight w:val="none"/>
        </w:rPr>
        <w:t>），全权代表本公司处理</w:t>
      </w:r>
      <w:r>
        <w:rPr>
          <w:rFonts w:hint="eastAsia" w:ascii="宋体" w:hAnsi="宋体"/>
          <w:highlight w:val="none"/>
          <w:lang w:eastAsia="zh-CN"/>
        </w:rPr>
        <w:t>谈判</w:t>
      </w:r>
      <w:r>
        <w:rPr>
          <w:rFonts w:hint="eastAsia" w:ascii="宋体" w:hAnsi="宋体"/>
          <w:highlight w:val="none"/>
        </w:rPr>
        <w:t>过程的一切事宜，包括但不限于：</w:t>
      </w:r>
      <w:r>
        <w:rPr>
          <w:rFonts w:hint="eastAsia" w:ascii="宋体" w:hAnsi="宋体"/>
          <w:highlight w:val="none"/>
          <w:lang w:eastAsia="zh-CN"/>
        </w:rPr>
        <w:t>谈判</w:t>
      </w:r>
      <w:r>
        <w:rPr>
          <w:rFonts w:hint="eastAsia" w:ascii="宋体" w:hAnsi="宋体"/>
          <w:highlight w:val="none"/>
        </w:rPr>
        <w:t>、签约等。供应商代表在</w:t>
      </w:r>
      <w:r>
        <w:rPr>
          <w:rFonts w:hint="eastAsia" w:ascii="宋体" w:hAnsi="宋体"/>
          <w:highlight w:val="none"/>
          <w:lang w:eastAsia="zh-CN"/>
        </w:rPr>
        <w:t>谈判</w:t>
      </w:r>
      <w:r>
        <w:rPr>
          <w:rFonts w:hint="eastAsia" w:ascii="宋体" w:hAnsi="宋体"/>
          <w:highlight w:val="none"/>
        </w:rPr>
        <w:t>过程中所签署的一切文件和处理与之有关的一切事务，本公司均予以认可并对此承担责任。被授权人无转委托权。特此授权。</w:t>
      </w:r>
    </w:p>
    <w:p w14:paraId="0148E5D6">
      <w:pPr>
        <w:spacing w:line="360" w:lineRule="auto"/>
        <w:ind w:firstLine="645"/>
        <w:rPr>
          <w:rFonts w:ascii="宋体" w:hAnsi="宋体"/>
          <w:highlight w:val="none"/>
        </w:rPr>
      </w:pPr>
      <w:r>
        <w:rPr>
          <w:rFonts w:hint="eastAsia" w:ascii="宋体" w:hAnsi="宋体"/>
          <w:highlight w:val="none"/>
        </w:rPr>
        <w:t>本授权书自出具之日起生效。</w:t>
      </w:r>
    </w:p>
    <w:p w14:paraId="7163F0DA">
      <w:pPr>
        <w:spacing w:line="360" w:lineRule="auto"/>
        <w:ind w:firstLine="645"/>
        <w:rPr>
          <w:rFonts w:ascii="宋体" w:hAnsi="宋体"/>
          <w:highlight w:val="none"/>
        </w:rPr>
      </w:pPr>
      <w:r>
        <w:rPr>
          <w:rFonts w:hint="eastAsia" w:ascii="宋体" w:hAnsi="宋体"/>
          <w:highlight w:val="none"/>
        </w:rPr>
        <w:t>特此声明。</w:t>
      </w:r>
    </w:p>
    <w:p w14:paraId="16663190">
      <w:pPr>
        <w:spacing w:line="360" w:lineRule="auto"/>
        <w:ind w:firstLine="645"/>
        <w:rPr>
          <w:rFonts w:ascii="宋体" w:hAnsi="宋体"/>
          <w:highlight w:val="none"/>
        </w:rPr>
      </w:pPr>
    </w:p>
    <w:p w14:paraId="31B69A96">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14:paraId="2C95C55B">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14:paraId="42D80008">
      <w:pPr>
        <w:spacing w:line="360" w:lineRule="auto"/>
        <w:ind w:firstLine="645"/>
        <w:rPr>
          <w:rFonts w:ascii="宋体" w:hAnsi="宋体"/>
          <w:highlight w:val="none"/>
        </w:rPr>
      </w:pPr>
    </w:p>
    <w:p w14:paraId="3C23E259">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14:paraId="0B04C1BD">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14:paraId="0D380B6E">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14:paraId="6584A351">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14:paraId="04687124">
      <w:pPr>
        <w:spacing w:line="360" w:lineRule="auto"/>
        <w:rPr>
          <w:rFonts w:ascii="宋体" w:hAnsi="宋体" w:cs="Arial"/>
          <w:b/>
          <w:highlight w:val="none"/>
        </w:rPr>
      </w:pPr>
    </w:p>
    <w:p w14:paraId="168258E0">
      <w:pPr>
        <w:pStyle w:val="10"/>
        <w:spacing w:before="66" w:line="360" w:lineRule="auto"/>
        <w:rPr>
          <w:sz w:val="21"/>
          <w:szCs w:val="21"/>
          <w:highlight w:val="none"/>
        </w:rPr>
      </w:pPr>
      <w:r>
        <w:rPr>
          <w:sz w:val="21"/>
          <w:szCs w:val="21"/>
          <w:highlight w:val="none"/>
        </w:rPr>
        <w:t>注：</w:t>
      </w:r>
    </w:p>
    <w:p w14:paraId="43E9526C">
      <w:pPr>
        <w:pStyle w:val="27"/>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14:paraId="24FE34F7">
      <w:pPr>
        <w:pStyle w:val="27"/>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lang w:eastAsia="zh-CN"/>
        </w:rPr>
        <w:t>谈判</w:t>
      </w:r>
      <w:r>
        <w:rPr>
          <w:sz w:val="21"/>
          <w:szCs w:val="21"/>
          <w:highlight w:val="none"/>
        </w:rPr>
        <w:t>的无需提供授权书，提供身份证明扫描件。</w:t>
      </w:r>
    </w:p>
    <w:p w14:paraId="036344D4">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6C9EFEEE">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14:paraId="20A70AC6">
      <w:pPr>
        <w:pStyle w:val="10"/>
        <w:spacing w:line="360" w:lineRule="auto"/>
        <w:rPr>
          <w:b/>
          <w:sz w:val="21"/>
          <w:szCs w:val="21"/>
          <w:highlight w:val="none"/>
        </w:rPr>
      </w:pPr>
    </w:p>
    <w:p w14:paraId="551C7077">
      <w:pPr>
        <w:pStyle w:val="10"/>
        <w:spacing w:before="11" w:line="360" w:lineRule="auto"/>
        <w:rPr>
          <w:b/>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4DB84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66C0AC7E">
            <w:pPr>
              <w:pStyle w:val="25"/>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14:paraId="6466ABC8">
            <w:pPr>
              <w:pStyle w:val="25"/>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14:paraId="34A32B4B">
            <w:pPr>
              <w:pStyle w:val="25"/>
              <w:spacing w:before="155" w:line="360" w:lineRule="auto"/>
              <w:ind w:left="524"/>
              <w:rPr>
                <w:b/>
                <w:sz w:val="21"/>
                <w:szCs w:val="21"/>
                <w:highlight w:val="none"/>
                <w:lang w:eastAsia="en-US"/>
              </w:rPr>
            </w:pPr>
            <w:r>
              <w:rPr>
                <w:rFonts w:hint="eastAsia"/>
                <w:b/>
                <w:sz w:val="21"/>
                <w:szCs w:val="21"/>
                <w:highlight w:val="none"/>
                <w:lang w:eastAsia="zh-CN"/>
              </w:rPr>
              <w:t>谈判</w:t>
            </w:r>
            <w:r>
              <w:rPr>
                <w:b/>
                <w:sz w:val="21"/>
                <w:szCs w:val="21"/>
                <w:highlight w:val="none"/>
                <w:lang w:eastAsia="en-US"/>
              </w:rPr>
              <w:t>文件要求</w:t>
            </w:r>
          </w:p>
        </w:tc>
        <w:tc>
          <w:tcPr>
            <w:tcW w:w="2576" w:type="dxa"/>
            <w:shd w:val="clear" w:color="auto" w:fill="auto"/>
          </w:tcPr>
          <w:p w14:paraId="7173CF2A">
            <w:pPr>
              <w:pStyle w:val="25"/>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14:paraId="0F701274">
            <w:pPr>
              <w:pStyle w:val="25"/>
              <w:spacing w:line="360" w:lineRule="auto"/>
              <w:ind w:left="161"/>
              <w:rPr>
                <w:b/>
                <w:sz w:val="21"/>
                <w:szCs w:val="21"/>
                <w:highlight w:val="none"/>
                <w:lang w:eastAsia="en-US"/>
              </w:rPr>
            </w:pPr>
            <w:r>
              <w:rPr>
                <w:b/>
                <w:sz w:val="21"/>
                <w:szCs w:val="21"/>
                <w:highlight w:val="none"/>
                <w:lang w:eastAsia="en-US"/>
              </w:rPr>
              <w:t>偏离</w:t>
            </w:r>
          </w:p>
          <w:p w14:paraId="60B74BC6">
            <w:pPr>
              <w:pStyle w:val="25"/>
              <w:spacing w:before="4" w:line="360" w:lineRule="auto"/>
              <w:ind w:left="161"/>
              <w:rPr>
                <w:b/>
                <w:sz w:val="21"/>
                <w:szCs w:val="21"/>
                <w:highlight w:val="none"/>
                <w:lang w:eastAsia="en-US"/>
              </w:rPr>
            </w:pPr>
            <w:r>
              <w:rPr>
                <w:b/>
                <w:sz w:val="21"/>
                <w:szCs w:val="21"/>
                <w:highlight w:val="none"/>
                <w:lang w:eastAsia="en-US"/>
              </w:rPr>
              <w:t>说明</w:t>
            </w:r>
          </w:p>
        </w:tc>
      </w:tr>
      <w:tr w14:paraId="4859E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1EFF9DCC">
            <w:pPr>
              <w:pStyle w:val="25"/>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14:paraId="1D188757">
            <w:pPr>
              <w:pStyle w:val="25"/>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14:paraId="60AF1E22">
            <w:pPr>
              <w:pStyle w:val="25"/>
              <w:spacing w:line="360" w:lineRule="auto"/>
              <w:rPr>
                <w:sz w:val="21"/>
                <w:szCs w:val="21"/>
                <w:highlight w:val="none"/>
                <w:lang w:eastAsia="en-US"/>
              </w:rPr>
            </w:pPr>
          </w:p>
        </w:tc>
        <w:tc>
          <w:tcPr>
            <w:tcW w:w="2576" w:type="dxa"/>
            <w:shd w:val="clear" w:color="auto" w:fill="auto"/>
          </w:tcPr>
          <w:p w14:paraId="04FB493F">
            <w:pPr>
              <w:pStyle w:val="25"/>
              <w:spacing w:line="360" w:lineRule="auto"/>
              <w:rPr>
                <w:sz w:val="21"/>
                <w:szCs w:val="21"/>
                <w:highlight w:val="none"/>
                <w:lang w:eastAsia="en-US"/>
              </w:rPr>
            </w:pPr>
          </w:p>
        </w:tc>
        <w:tc>
          <w:tcPr>
            <w:tcW w:w="811" w:type="dxa"/>
            <w:shd w:val="clear" w:color="auto" w:fill="auto"/>
          </w:tcPr>
          <w:p w14:paraId="145219FF">
            <w:pPr>
              <w:pStyle w:val="25"/>
              <w:spacing w:line="360" w:lineRule="auto"/>
              <w:rPr>
                <w:sz w:val="21"/>
                <w:szCs w:val="21"/>
                <w:highlight w:val="none"/>
                <w:lang w:eastAsia="en-US"/>
              </w:rPr>
            </w:pPr>
          </w:p>
        </w:tc>
      </w:tr>
      <w:tr w14:paraId="624FC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329F2E12">
            <w:pPr>
              <w:pStyle w:val="25"/>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14:paraId="568F6C5A">
            <w:pPr>
              <w:pStyle w:val="25"/>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14:paraId="0BBB7D85">
            <w:pPr>
              <w:pStyle w:val="25"/>
              <w:spacing w:line="360" w:lineRule="auto"/>
              <w:rPr>
                <w:sz w:val="21"/>
                <w:szCs w:val="21"/>
                <w:highlight w:val="none"/>
                <w:lang w:eastAsia="en-US"/>
              </w:rPr>
            </w:pPr>
          </w:p>
        </w:tc>
        <w:tc>
          <w:tcPr>
            <w:tcW w:w="2576" w:type="dxa"/>
            <w:shd w:val="clear" w:color="auto" w:fill="auto"/>
          </w:tcPr>
          <w:p w14:paraId="5038FF95">
            <w:pPr>
              <w:pStyle w:val="25"/>
              <w:spacing w:line="360" w:lineRule="auto"/>
              <w:rPr>
                <w:sz w:val="21"/>
                <w:szCs w:val="21"/>
                <w:highlight w:val="none"/>
                <w:lang w:eastAsia="en-US"/>
              </w:rPr>
            </w:pPr>
          </w:p>
        </w:tc>
        <w:tc>
          <w:tcPr>
            <w:tcW w:w="811" w:type="dxa"/>
            <w:shd w:val="clear" w:color="auto" w:fill="auto"/>
          </w:tcPr>
          <w:p w14:paraId="0747D1C0">
            <w:pPr>
              <w:pStyle w:val="25"/>
              <w:spacing w:line="360" w:lineRule="auto"/>
              <w:rPr>
                <w:sz w:val="21"/>
                <w:szCs w:val="21"/>
                <w:highlight w:val="none"/>
                <w:lang w:eastAsia="en-US"/>
              </w:rPr>
            </w:pPr>
          </w:p>
        </w:tc>
      </w:tr>
      <w:tr w14:paraId="5BEC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1A026440">
            <w:pPr>
              <w:pStyle w:val="25"/>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14:paraId="4EC8D49A">
            <w:pPr>
              <w:pStyle w:val="25"/>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14:paraId="7730E862">
            <w:pPr>
              <w:pStyle w:val="25"/>
              <w:spacing w:line="360" w:lineRule="auto"/>
              <w:rPr>
                <w:sz w:val="21"/>
                <w:szCs w:val="21"/>
                <w:highlight w:val="none"/>
                <w:lang w:eastAsia="en-US"/>
              </w:rPr>
            </w:pPr>
          </w:p>
        </w:tc>
        <w:tc>
          <w:tcPr>
            <w:tcW w:w="2576" w:type="dxa"/>
            <w:shd w:val="clear" w:color="auto" w:fill="auto"/>
          </w:tcPr>
          <w:p w14:paraId="25660C71">
            <w:pPr>
              <w:pStyle w:val="25"/>
              <w:spacing w:line="360" w:lineRule="auto"/>
              <w:rPr>
                <w:sz w:val="21"/>
                <w:szCs w:val="21"/>
                <w:highlight w:val="none"/>
                <w:lang w:eastAsia="en-US"/>
              </w:rPr>
            </w:pPr>
          </w:p>
        </w:tc>
        <w:tc>
          <w:tcPr>
            <w:tcW w:w="811" w:type="dxa"/>
            <w:shd w:val="clear" w:color="auto" w:fill="auto"/>
          </w:tcPr>
          <w:p w14:paraId="5EC3FDD2">
            <w:pPr>
              <w:pStyle w:val="25"/>
              <w:spacing w:line="360" w:lineRule="auto"/>
              <w:rPr>
                <w:sz w:val="21"/>
                <w:szCs w:val="21"/>
                <w:highlight w:val="none"/>
                <w:lang w:eastAsia="en-US"/>
              </w:rPr>
            </w:pPr>
          </w:p>
        </w:tc>
      </w:tr>
      <w:tr w14:paraId="2B041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6B73ACEC">
            <w:pPr>
              <w:pStyle w:val="25"/>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14:paraId="6D7019D4">
            <w:pPr>
              <w:pStyle w:val="25"/>
              <w:spacing w:line="360" w:lineRule="auto"/>
              <w:rPr>
                <w:sz w:val="21"/>
                <w:szCs w:val="21"/>
                <w:highlight w:val="none"/>
                <w:lang w:eastAsia="en-US"/>
              </w:rPr>
            </w:pPr>
          </w:p>
        </w:tc>
        <w:tc>
          <w:tcPr>
            <w:tcW w:w="2497" w:type="dxa"/>
            <w:shd w:val="clear" w:color="auto" w:fill="auto"/>
          </w:tcPr>
          <w:p w14:paraId="33EF186E">
            <w:pPr>
              <w:pStyle w:val="25"/>
              <w:spacing w:line="360" w:lineRule="auto"/>
              <w:rPr>
                <w:sz w:val="21"/>
                <w:szCs w:val="21"/>
                <w:highlight w:val="none"/>
                <w:lang w:eastAsia="en-US"/>
              </w:rPr>
            </w:pPr>
          </w:p>
        </w:tc>
        <w:tc>
          <w:tcPr>
            <w:tcW w:w="2576" w:type="dxa"/>
            <w:shd w:val="clear" w:color="auto" w:fill="auto"/>
          </w:tcPr>
          <w:p w14:paraId="43B14DE7">
            <w:pPr>
              <w:pStyle w:val="25"/>
              <w:spacing w:line="360" w:lineRule="auto"/>
              <w:rPr>
                <w:sz w:val="21"/>
                <w:szCs w:val="21"/>
                <w:highlight w:val="none"/>
                <w:lang w:eastAsia="en-US"/>
              </w:rPr>
            </w:pPr>
          </w:p>
        </w:tc>
        <w:tc>
          <w:tcPr>
            <w:tcW w:w="811" w:type="dxa"/>
            <w:shd w:val="clear" w:color="auto" w:fill="auto"/>
          </w:tcPr>
          <w:p w14:paraId="6D72EBAB">
            <w:pPr>
              <w:pStyle w:val="25"/>
              <w:spacing w:line="360" w:lineRule="auto"/>
              <w:rPr>
                <w:sz w:val="21"/>
                <w:szCs w:val="21"/>
                <w:highlight w:val="none"/>
                <w:lang w:eastAsia="en-US"/>
              </w:rPr>
            </w:pPr>
          </w:p>
        </w:tc>
      </w:tr>
    </w:tbl>
    <w:p w14:paraId="0C7AF313">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028A584A">
      <w:pPr>
        <w:spacing w:before="240" w:beforeLines="100" w:after="240" w:afterLines="100"/>
        <w:jc w:val="center"/>
        <w:outlineLvl w:val="2"/>
        <w:rPr>
          <w:rFonts w:hint="default" w:eastAsia="宋体"/>
          <w:b/>
          <w:sz w:val="28"/>
          <w:szCs w:val="28"/>
          <w:highlight w:val="none"/>
          <w:lang w:val="en-US" w:eastAsia="zh-CN"/>
        </w:rPr>
      </w:pPr>
      <w:r>
        <w:rPr>
          <w:rFonts w:hint="eastAsia"/>
          <w:b/>
          <w:sz w:val="28"/>
          <w:szCs w:val="28"/>
          <w:highlight w:val="none"/>
          <w:lang w:val="en-US" w:eastAsia="zh-CN"/>
        </w:rPr>
        <w:t>六</w:t>
      </w:r>
      <w:r>
        <w:rPr>
          <w:b/>
          <w:sz w:val="28"/>
          <w:szCs w:val="28"/>
          <w:highlight w:val="none"/>
        </w:rPr>
        <w:t>、</w:t>
      </w:r>
      <w:r>
        <w:rPr>
          <w:rFonts w:hint="eastAsia"/>
          <w:b/>
          <w:sz w:val="28"/>
          <w:szCs w:val="28"/>
          <w:highlight w:val="none"/>
          <w:lang w:val="en-US" w:eastAsia="zh-CN"/>
        </w:rPr>
        <w:t>人员配备（格式自拟）</w:t>
      </w:r>
    </w:p>
    <w:p w14:paraId="4EF3E28A">
      <w:pPr>
        <w:rPr>
          <w:rFonts w:ascii="宋体" w:hAnsi="宋体"/>
          <w:b/>
          <w:highlight w:val="none"/>
        </w:rPr>
      </w:pPr>
    </w:p>
    <w:p w14:paraId="7E47F565">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firstLine="420" w:firstLineChars="200"/>
        <w:jc w:val="left"/>
        <w:textAlignment w:val="auto"/>
        <w:rPr>
          <w:rFonts w:hint="eastAsia" w:ascii="宋体" w:hAnsi="宋体" w:eastAsia="宋体" w:cs="宋体"/>
          <w:kern w:val="0"/>
          <w:sz w:val="21"/>
          <w:szCs w:val="21"/>
          <w:highlight w:val="none"/>
          <w:lang w:val="en-US" w:eastAsia="zh-CN" w:bidi="zh-CN"/>
        </w:rPr>
      </w:pPr>
    </w:p>
    <w:p w14:paraId="6F40DFD6">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69B0AF2F">
      <w:pPr>
        <w:spacing w:before="240" w:beforeLines="100" w:after="240" w:afterLines="100"/>
        <w:jc w:val="center"/>
        <w:outlineLvl w:val="2"/>
        <w:rPr>
          <w:b/>
          <w:sz w:val="28"/>
          <w:szCs w:val="28"/>
          <w:highlight w:val="none"/>
        </w:rPr>
      </w:pPr>
      <w:r>
        <w:rPr>
          <w:rFonts w:hint="eastAsia"/>
          <w:b/>
          <w:sz w:val="28"/>
          <w:szCs w:val="28"/>
          <w:highlight w:val="none"/>
          <w:lang w:val="en-US" w:eastAsia="zh-CN"/>
        </w:rPr>
        <w:t>七、</w:t>
      </w:r>
      <w:r>
        <w:rPr>
          <w:b/>
          <w:sz w:val="28"/>
          <w:szCs w:val="28"/>
          <w:highlight w:val="none"/>
        </w:rPr>
        <w:t>其他相关证明材料</w:t>
      </w:r>
    </w:p>
    <w:p w14:paraId="35BF3421">
      <w:pPr>
        <w:pStyle w:val="10"/>
        <w:spacing w:before="160" w:line="360" w:lineRule="auto"/>
        <w:ind w:left="220" w:right="361" w:firstLine="479"/>
        <w:rPr>
          <w:sz w:val="21"/>
          <w:szCs w:val="21"/>
          <w:highlight w:val="none"/>
        </w:rPr>
      </w:pPr>
      <w:r>
        <w:rPr>
          <w:sz w:val="21"/>
          <w:szCs w:val="21"/>
          <w:highlight w:val="none"/>
        </w:rPr>
        <w:t>提供符合</w:t>
      </w:r>
      <w:r>
        <w:rPr>
          <w:rFonts w:hint="eastAsia"/>
          <w:sz w:val="21"/>
          <w:szCs w:val="21"/>
          <w:highlight w:val="none"/>
          <w:lang w:eastAsia="zh-CN"/>
        </w:rPr>
        <w:t>谈判</w:t>
      </w:r>
      <w:r>
        <w:rPr>
          <w:sz w:val="21"/>
          <w:szCs w:val="21"/>
          <w:highlight w:val="none"/>
        </w:rPr>
        <w:t>邀请（</w:t>
      </w:r>
      <w:r>
        <w:rPr>
          <w:rFonts w:hint="eastAsia"/>
          <w:sz w:val="21"/>
          <w:szCs w:val="21"/>
          <w:highlight w:val="none"/>
          <w:lang w:eastAsia="zh-CN"/>
        </w:rPr>
        <w:t>谈判</w:t>
      </w:r>
      <w:r>
        <w:rPr>
          <w:sz w:val="21"/>
          <w:szCs w:val="21"/>
          <w:highlight w:val="none"/>
        </w:rPr>
        <w:t>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14:paraId="103720B1">
      <w:pPr>
        <w:pStyle w:val="10"/>
        <w:spacing w:line="360" w:lineRule="auto"/>
        <w:rPr>
          <w:sz w:val="21"/>
          <w:szCs w:val="21"/>
          <w:highlight w:val="none"/>
        </w:rPr>
      </w:pPr>
    </w:p>
    <w:p w14:paraId="30E57C8C">
      <w:pPr>
        <w:pStyle w:val="10"/>
        <w:spacing w:line="360" w:lineRule="auto"/>
        <w:rPr>
          <w:sz w:val="21"/>
          <w:szCs w:val="21"/>
          <w:highlight w:val="none"/>
        </w:rPr>
      </w:pPr>
    </w:p>
    <w:p w14:paraId="72405440">
      <w:pPr>
        <w:pStyle w:val="10"/>
        <w:spacing w:before="2" w:line="360" w:lineRule="auto"/>
        <w:rPr>
          <w:b/>
          <w:sz w:val="28"/>
          <w:szCs w:val="28"/>
          <w:highlight w:val="none"/>
        </w:rPr>
      </w:pPr>
    </w:p>
    <w:p w14:paraId="7E073F76">
      <w:pPr>
        <w:spacing w:line="360" w:lineRule="auto"/>
        <w:rPr>
          <w:rFonts w:ascii="宋体" w:hAnsi="宋体"/>
          <w:highlight w:val="none"/>
        </w:rPr>
      </w:pPr>
    </w:p>
    <w:p w14:paraId="3EC9C2EE">
      <w:pPr>
        <w:widowControl/>
        <w:spacing w:line="360" w:lineRule="auto"/>
        <w:jc w:val="left"/>
        <w:rPr>
          <w:highlight w:val="none"/>
        </w:rPr>
      </w:pPr>
    </w:p>
    <w:p w14:paraId="4673C274">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EAD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22B33">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822B33">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7314A"/>
    <w:multiLevelType w:val="singleLevel"/>
    <w:tmpl w:val="0247314A"/>
    <w:lvl w:ilvl="0" w:tentative="0">
      <w:start w:val="1"/>
      <w:numFmt w:val="decimal"/>
      <w:suff w:val="nothing"/>
      <w:lvlText w:val="%1、"/>
      <w:lvlJc w:val="left"/>
    </w:lvl>
  </w:abstractNum>
  <w:abstractNum w:abstractNumId="1">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2">
    <w:nsid w:val="4D14CA7D"/>
    <w:multiLevelType w:val="singleLevel"/>
    <w:tmpl w:val="4D14CA7D"/>
    <w:lvl w:ilvl="0" w:tentative="0">
      <w:start w:val="1"/>
      <w:numFmt w:val="decimal"/>
      <w:suff w:val="nothing"/>
      <w:lvlText w:val="%1、"/>
      <w:lvlJc w:val="left"/>
    </w:lvl>
  </w:abstractNum>
  <w:abstractNum w:abstractNumId="3">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4">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5">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6">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TRiYjgzNGQ5MDI5NDI0ODQ3OWIzZDRjYjA0OWMifQ=="/>
    <w:docVar w:name="KSO_WPS_MARK_KEY" w:val="0e8bec8e-0404-412b-a521-7dd9a2a771ff"/>
  </w:docVars>
  <w:rsids>
    <w:rsidRoot w:val="0F162D44"/>
    <w:rsid w:val="001113BD"/>
    <w:rsid w:val="00270BE1"/>
    <w:rsid w:val="00500138"/>
    <w:rsid w:val="00B5796A"/>
    <w:rsid w:val="00C14B91"/>
    <w:rsid w:val="00D23242"/>
    <w:rsid w:val="00E865C2"/>
    <w:rsid w:val="01115B19"/>
    <w:rsid w:val="01747E56"/>
    <w:rsid w:val="01A3073B"/>
    <w:rsid w:val="01CA3F1A"/>
    <w:rsid w:val="0207798C"/>
    <w:rsid w:val="025657AD"/>
    <w:rsid w:val="02691984"/>
    <w:rsid w:val="02B726F0"/>
    <w:rsid w:val="02C32E43"/>
    <w:rsid w:val="02D432A2"/>
    <w:rsid w:val="02D908B8"/>
    <w:rsid w:val="02E42DB9"/>
    <w:rsid w:val="03196F07"/>
    <w:rsid w:val="0329235D"/>
    <w:rsid w:val="03A5079A"/>
    <w:rsid w:val="03B46C2F"/>
    <w:rsid w:val="04003C23"/>
    <w:rsid w:val="040F20B8"/>
    <w:rsid w:val="04510922"/>
    <w:rsid w:val="04D37589"/>
    <w:rsid w:val="05025778"/>
    <w:rsid w:val="051E6A56"/>
    <w:rsid w:val="05483AD3"/>
    <w:rsid w:val="065A37E2"/>
    <w:rsid w:val="067601CC"/>
    <w:rsid w:val="06824DC3"/>
    <w:rsid w:val="069A035E"/>
    <w:rsid w:val="06C929F2"/>
    <w:rsid w:val="06D7510F"/>
    <w:rsid w:val="07034156"/>
    <w:rsid w:val="075449B1"/>
    <w:rsid w:val="079B438E"/>
    <w:rsid w:val="08142548"/>
    <w:rsid w:val="0822060B"/>
    <w:rsid w:val="087B5F6E"/>
    <w:rsid w:val="08874912"/>
    <w:rsid w:val="08BC2BDF"/>
    <w:rsid w:val="08C629D1"/>
    <w:rsid w:val="08EB6C4F"/>
    <w:rsid w:val="091A6930"/>
    <w:rsid w:val="091C14FF"/>
    <w:rsid w:val="092A1BAB"/>
    <w:rsid w:val="094E3682"/>
    <w:rsid w:val="095F13EB"/>
    <w:rsid w:val="0972111F"/>
    <w:rsid w:val="097E3F67"/>
    <w:rsid w:val="09840E52"/>
    <w:rsid w:val="0992356F"/>
    <w:rsid w:val="09976DD7"/>
    <w:rsid w:val="0A1D552E"/>
    <w:rsid w:val="0A6068F5"/>
    <w:rsid w:val="0A960E3D"/>
    <w:rsid w:val="0A9926DB"/>
    <w:rsid w:val="0AD35BED"/>
    <w:rsid w:val="0B04224A"/>
    <w:rsid w:val="0B380146"/>
    <w:rsid w:val="0B4D5C38"/>
    <w:rsid w:val="0B93537C"/>
    <w:rsid w:val="0BB43C70"/>
    <w:rsid w:val="0BE5207C"/>
    <w:rsid w:val="0C060244"/>
    <w:rsid w:val="0C1C7A68"/>
    <w:rsid w:val="0C3721AC"/>
    <w:rsid w:val="0C48085D"/>
    <w:rsid w:val="0C4A0131"/>
    <w:rsid w:val="0C4D19CF"/>
    <w:rsid w:val="0C525237"/>
    <w:rsid w:val="0C9B098C"/>
    <w:rsid w:val="0CB16402"/>
    <w:rsid w:val="0CCC6D98"/>
    <w:rsid w:val="0CCF6888"/>
    <w:rsid w:val="0CFB58CF"/>
    <w:rsid w:val="0D136775"/>
    <w:rsid w:val="0DCA3859"/>
    <w:rsid w:val="0E2D7D0A"/>
    <w:rsid w:val="0E6301A5"/>
    <w:rsid w:val="0E67574A"/>
    <w:rsid w:val="0EAC189D"/>
    <w:rsid w:val="0EB65F51"/>
    <w:rsid w:val="0ECC12D1"/>
    <w:rsid w:val="0F06154A"/>
    <w:rsid w:val="0F162D44"/>
    <w:rsid w:val="0F49109B"/>
    <w:rsid w:val="0F5D017B"/>
    <w:rsid w:val="0F672DA8"/>
    <w:rsid w:val="0FA83AEC"/>
    <w:rsid w:val="0FD7617F"/>
    <w:rsid w:val="10CC380A"/>
    <w:rsid w:val="10EA3C90"/>
    <w:rsid w:val="117F04B8"/>
    <w:rsid w:val="11FE3E97"/>
    <w:rsid w:val="120314AE"/>
    <w:rsid w:val="1288550F"/>
    <w:rsid w:val="12955E7E"/>
    <w:rsid w:val="12B207DE"/>
    <w:rsid w:val="12F11306"/>
    <w:rsid w:val="12FE1C75"/>
    <w:rsid w:val="13076D7C"/>
    <w:rsid w:val="13225964"/>
    <w:rsid w:val="13367661"/>
    <w:rsid w:val="135F0966"/>
    <w:rsid w:val="13833F28"/>
    <w:rsid w:val="144C07BE"/>
    <w:rsid w:val="144E09DA"/>
    <w:rsid w:val="15086DDB"/>
    <w:rsid w:val="150D619F"/>
    <w:rsid w:val="15581B10"/>
    <w:rsid w:val="15610299"/>
    <w:rsid w:val="15747FCD"/>
    <w:rsid w:val="15BB3E4D"/>
    <w:rsid w:val="1615355E"/>
    <w:rsid w:val="162B4ED3"/>
    <w:rsid w:val="1654399F"/>
    <w:rsid w:val="16585B40"/>
    <w:rsid w:val="167A5AB7"/>
    <w:rsid w:val="169D0BFD"/>
    <w:rsid w:val="16BA0495"/>
    <w:rsid w:val="16CD5BE6"/>
    <w:rsid w:val="171657DF"/>
    <w:rsid w:val="17A0779F"/>
    <w:rsid w:val="17EE22B8"/>
    <w:rsid w:val="17F04282"/>
    <w:rsid w:val="182201B4"/>
    <w:rsid w:val="182C4B8E"/>
    <w:rsid w:val="182E4DAB"/>
    <w:rsid w:val="18475E6C"/>
    <w:rsid w:val="18491BE4"/>
    <w:rsid w:val="18D45952"/>
    <w:rsid w:val="18FA4C8D"/>
    <w:rsid w:val="19066D08"/>
    <w:rsid w:val="190E33B2"/>
    <w:rsid w:val="19232435"/>
    <w:rsid w:val="19265A82"/>
    <w:rsid w:val="193747F9"/>
    <w:rsid w:val="193F08F1"/>
    <w:rsid w:val="198253AE"/>
    <w:rsid w:val="19A10856"/>
    <w:rsid w:val="19A35324"/>
    <w:rsid w:val="19B258BE"/>
    <w:rsid w:val="19C21C4E"/>
    <w:rsid w:val="19CA28B1"/>
    <w:rsid w:val="19DE2002"/>
    <w:rsid w:val="1A604FC3"/>
    <w:rsid w:val="1AB01AA7"/>
    <w:rsid w:val="1ABA5260"/>
    <w:rsid w:val="1AC437A4"/>
    <w:rsid w:val="1AD11A1D"/>
    <w:rsid w:val="1B2129A5"/>
    <w:rsid w:val="1BCB46BE"/>
    <w:rsid w:val="1C071B9A"/>
    <w:rsid w:val="1C112A19"/>
    <w:rsid w:val="1C4E1577"/>
    <w:rsid w:val="1C784846"/>
    <w:rsid w:val="1C7F5BD5"/>
    <w:rsid w:val="1CDD0B4D"/>
    <w:rsid w:val="1CFF4A55"/>
    <w:rsid w:val="1D5726AE"/>
    <w:rsid w:val="1D5C4168"/>
    <w:rsid w:val="1D7E7C3A"/>
    <w:rsid w:val="1D895C4A"/>
    <w:rsid w:val="1DB96EC4"/>
    <w:rsid w:val="1E0C3498"/>
    <w:rsid w:val="1E3E1000"/>
    <w:rsid w:val="1E3E73CA"/>
    <w:rsid w:val="1E6F3A27"/>
    <w:rsid w:val="1E99745C"/>
    <w:rsid w:val="1EC04283"/>
    <w:rsid w:val="1EC65D3D"/>
    <w:rsid w:val="1EDA0135"/>
    <w:rsid w:val="1EF36406"/>
    <w:rsid w:val="1EF503D0"/>
    <w:rsid w:val="1F071EB1"/>
    <w:rsid w:val="1F332CA6"/>
    <w:rsid w:val="1F443106"/>
    <w:rsid w:val="1F4B4494"/>
    <w:rsid w:val="1FAD2A59"/>
    <w:rsid w:val="1FD04999"/>
    <w:rsid w:val="1FE30229"/>
    <w:rsid w:val="204A02A8"/>
    <w:rsid w:val="204C2272"/>
    <w:rsid w:val="211014F1"/>
    <w:rsid w:val="21470C8B"/>
    <w:rsid w:val="214C004F"/>
    <w:rsid w:val="214D44F3"/>
    <w:rsid w:val="215238B8"/>
    <w:rsid w:val="22031056"/>
    <w:rsid w:val="221E19EC"/>
    <w:rsid w:val="222A65E3"/>
    <w:rsid w:val="22486A69"/>
    <w:rsid w:val="22D718B2"/>
    <w:rsid w:val="22EB3FC4"/>
    <w:rsid w:val="22F028ED"/>
    <w:rsid w:val="231F3C6E"/>
    <w:rsid w:val="233E3FF4"/>
    <w:rsid w:val="237613B4"/>
    <w:rsid w:val="238B30B1"/>
    <w:rsid w:val="23B24AE2"/>
    <w:rsid w:val="23B51EDC"/>
    <w:rsid w:val="23B819CC"/>
    <w:rsid w:val="23E12CD1"/>
    <w:rsid w:val="23E9602A"/>
    <w:rsid w:val="24066BDB"/>
    <w:rsid w:val="24AC7783"/>
    <w:rsid w:val="24DB0068"/>
    <w:rsid w:val="25180974"/>
    <w:rsid w:val="25866C84"/>
    <w:rsid w:val="25CC72F2"/>
    <w:rsid w:val="25DC5E46"/>
    <w:rsid w:val="260A23B5"/>
    <w:rsid w:val="262B2929"/>
    <w:rsid w:val="2641214D"/>
    <w:rsid w:val="264E03C6"/>
    <w:rsid w:val="2666570F"/>
    <w:rsid w:val="269E759F"/>
    <w:rsid w:val="26B446CD"/>
    <w:rsid w:val="26F31699"/>
    <w:rsid w:val="26F45411"/>
    <w:rsid w:val="27037402"/>
    <w:rsid w:val="27286E69"/>
    <w:rsid w:val="273852FE"/>
    <w:rsid w:val="273B6B9C"/>
    <w:rsid w:val="27421CD9"/>
    <w:rsid w:val="275E288B"/>
    <w:rsid w:val="27793455"/>
    <w:rsid w:val="27C070A1"/>
    <w:rsid w:val="28011B94"/>
    <w:rsid w:val="28485A15"/>
    <w:rsid w:val="28497097"/>
    <w:rsid w:val="28885E11"/>
    <w:rsid w:val="28A54C15"/>
    <w:rsid w:val="28A55630"/>
    <w:rsid w:val="28A80261"/>
    <w:rsid w:val="28D42E04"/>
    <w:rsid w:val="28DB23E5"/>
    <w:rsid w:val="28E868B0"/>
    <w:rsid w:val="291C47AB"/>
    <w:rsid w:val="29693E94"/>
    <w:rsid w:val="2A2E4796"/>
    <w:rsid w:val="2A7C3754"/>
    <w:rsid w:val="2AAF4664"/>
    <w:rsid w:val="2ABB0720"/>
    <w:rsid w:val="2B697F53"/>
    <w:rsid w:val="2B88437A"/>
    <w:rsid w:val="2B936FA7"/>
    <w:rsid w:val="2BA03472"/>
    <w:rsid w:val="2BA34321"/>
    <w:rsid w:val="2BBF2576"/>
    <w:rsid w:val="2BCA4992"/>
    <w:rsid w:val="2C2E0A7D"/>
    <w:rsid w:val="2C2F7028"/>
    <w:rsid w:val="2C8763E0"/>
    <w:rsid w:val="2CA174A1"/>
    <w:rsid w:val="2CD31625"/>
    <w:rsid w:val="2CEE64A0"/>
    <w:rsid w:val="2D087520"/>
    <w:rsid w:val="2D0B7011"/>
    <w:rsid w:val="2D4D0AFD"/>
    <w:rsid w:val="2D662499"/>
    <w:rsid w:val="2D720E3E"/>
    <w:rsid w:val="2DAA682A"/>
    <w:rsid w:val="2DD90EBD"/>
    <w:rsid w:val="2E00644A"/>
    <w:rsid w:val="2E2A1718"/>
    <w:rsid w:val="2EA27501"/>
    <w:rsid w:val="2ED31DB0"/>
    <w:rsid w:val="2F1403FE"/>
    <w:rsid w:val="2F776BDF"/>
    <w:rsid w:val="2F9B0B20"/>
    <w:rsid w:val="2FA71273"/>
    <w:rsid w:val="2FAD0853"/>
    <w:rsid w:val="2FBC2844"/>
    <w:rsid w:val="2FC8743B"/>
    <w:rsid w:val="2FD951A4"/>
    <w:rsid w:val="2FED29FE"/>
    <w:rsid w:val="300E12F2"/>
    <w:rsid w:val="30204B81"/>
    <w:rsid w:val="30224D9D"/>
    <w:rsid w:val="304376ED"/>
    <w:rsid w:val="30E42053"/>
    <w:rsid w:val="30FF50DE"/>
    <w:rsid w:val="31221E76"/>
    <w:rsid w:val="319E08BE"/>
    <w:rsid w:val="31E77D2B"/>
    <w:rsid w:val="323668DE"/>
    <w:rsid w:val="327F2033"/>
    <w:rsid w:val="32951856"/>
    <w:rsid w:val="333077D1"/>
    <w:rsid w:val="33667CE5"/>
    <w:rsid w:val="33791178"/>
    <w:rsid w:val="33A8380B"/>
    <w:rsid w:val="33D22636"/>
    <w:rsid w:val="33E34439"/>
    <w:rsid w:val="34034EE6"/>
    <w:rsid w:val="34036C94"/>
    <w:rsid w:val="34052A0C"/>
    <w:rsid w:val="341E3ACD"/>
    <w:rsid w:val="344C4197"/>
    <w:rsid w:val="34580D8D"/>
    <w:rsid w:val="345E3ECA"/>
    <w:rsid w:val="347A51A8"/>
    <w:rsid w:val="347D6A46"/>
    <w:rsid w:val="34983880"/>
    <w:rsid w:val="34AF4725"/>
    <w:rsid w:val="34D81ECE"/>
    <w:rsid w:val="34E70363"/>
    <w:rsid w:val="34EE34A0"/>
    <w:rsid w:val="35942299"/>
    <w:rsid w:val="359A2BF8"/>
    <w:rsid w:val="35A46254"/>
    <w:rsid w:val="35CF32D1"/>
    <w:rsid w:val="35E548A3"/>
    <w:rsid w:val="36034D29"/>
    <w:rsid w:val="362A675A"/>
    <w:rsid w:val="36785717"/>
    <w:rsid w:val="36E0150E"/>
    <w:rsid w:val="376C68FE"/>
    <w:rsid w:val="37E868CC"/>
    <w:rsid w:val="37FE1C4C"/>
    <w:rsid w:val="3802360F"/>
    <w:rsid w:val="383B4C4E"/>
    <w:rsid w:val="383E473E"/>
    <w:rsid w:val="387463B2"/>
    <w:rsid w:val="38D62BC9"/>
    <w:rsid w:val="38D8249D"/>
    <w:rsid w:val="38EF2398"/>
    <w:rsid w:val="395C1F04"/>
    <w:rsid w:val="39900FC9"/>
    <w:rsid w:val="39A95BE7"/>
    <w:rsid w:val="39C173D5"/>
    <w:rsid w:val="3A1F40FB"/>
    <w:rsid w:val="3A4F678F"/>
    <w:rsid w:val="3A7A70F1"/>
    <w:rsid w:val="3A9E3272"/>
    <w:rsid w:val="3AAB1E22"/>
    <w:rsid w:val="3ACC7DDF"/>
    <w:rsid w:val="3AE0789A"/>
    <w:rsid w:val="3B0752BB"/>
    <w:rsid w:val="3B163750"/>
    <w:rsid w:val="3B5129DA"/>
    <w:rsid w:val="3B581673"/>
    <w:rsid w:val="3B9B253A"/>
    <w:rsid w:val="3BD31641"/>
    <w:rsid w:val="3C664263"/>
    <w:rsid w:val="3C6A3D54"/>
    <w:rsid w:val="3C746980"/>
    <w:rsid w:val="3C77021F"/>
    <w:rsid w:val="3CE55188"/>
    <w:rsid w:val="3D2A703F"/>
    <w:rsid w:val="3D385C00"/>
    <w:rsid w:val="3D3E0D3C"/>
    <w:rsid w:val="3D477BF1"/>
    <w:rsid w:val="3D5F318D"/>
    <w:rsid w:val="3D85696B"/>
    <w:rsid w:val="3D8A3F82"/>
    <w:rsid w:val="3DF633C5"/>
    <w:rsid w:val="3E126451"/>
    <w:rsid w:val="3E216694"/>
    <w:rsid w:val="3E241CE0"/>
    <w:rsid w:val="3E530817"/>
    <w:rsid w:val="3E917E06"/>
    <w:rsid w:val="3E9926CE"/>
    <w:rsid w:val="3EFE69D5"/>
    <w:rsid w:val="3F00274D"/>
    <w:rsid w:val="3F11495A"/>
    <w:rsid w:val="3F2074EF"/>
    <w:rsid w:val="3F280D1E"/>
    <w:rsid w:val="3F41401F"/>
    <w:rsid w:val="3F454604"/>
    <w:rsid w:val="3F9F3D14"/>
    <w:rsid w:val="3FDB2873"/>
    <w:rsid w:val="3FEC70FD"/>
    <w:rsid w:val="3FFD4EDF"/>
    <w:rsid w:val="3FFD735E"/>
    <w:rsid w:val="40291830"/>
    <w:rsid w:val="409475F1"/>
    <w:rsid w:val="409A0980"/>
    <w:rsid w:val="40AC7220"/>
    <w:rsid w:val="40B03CFF"/>
    <w:rsid w:val="40B51316"/>
    <w:rsid w:val="40DD4172"/>
    <w:rsid w:val="41326E0A"/>
    <w:rsid w:val="41517290"/>
    <w:rsid w:val="417751AD"/>
    <w:rsid w:val="41807B75"/>
    <w:rsid w:val="422C3859"/>
    <w:rsid w:val="42B11578"/>
    <w:rsid w:val="42DC702D"/>
    <w:rsid w:val="43087E22"/>
    <w:rsid w:val="4326474D"/>
    <w:rsid w:val="43361880"/>
    <w:rsid w:val="434D1CD9"/>
    <w:rsid w:val="436C6603"/>
    <w:rsid w:val="43DD46A1"/>
    <w:rsid w:val="43DE0B83"/>
    <w:rsid w:val="43F65ECD"/>
    <w:rsid w:val="443B5FD6"/>
    <w:rsid w:val="444B446B"/>
    <w:rsid w:val="4486067B"/>
    <w:rsid w:val="4513485D"/>
    <w:rsid w:val="45196317"/>
    <w:rsid w:val="45DB35CC"/>
    <w:rsid w:val="45FD79E7"/>
    <w:rsid w:val="46054AED"/>
    <w:rsid w:val="469F45FA"/>
    <w:rsid w:val="46A9191C"/>
    <w:rsid w:val="46A95479"/>
    <w:rsid w:val="46B67B95"/>
    <w:rsid w:val="46E82445"/>
    <w:rsid w:val="47723ABC"/>
    <w:rsid w:val="477B5067"/>
    <w:rsid w:val="479003E6"/>
    <w:rsid w:val="479954ED"/>
    <w:rsid w:val="479F35E6"/>
    <w:rsid w:val="47A619B8"/>
    <w:rsid w:val="47ED75E7"/>
    <w:rsid w:val="481D611E"/>
    <w:rsid w:val="481D7ECC"/>
    <w:rsid w:val="481E1E96"/>
    <w:rsid w:val="482B265C"/>
    <w:rsid w:val="485F3453"/>
    <w:rsid w:val="48BA1BBF"/>
    <w:rsid w:val="48D52555"/>
    <w:rsid w:val="497E2BEC"/>
    <w:rsid w:val="49A40179"/>
    <w:rsid w:val="49B74350"/>
    <w:rsid w:val="49C10D2B"/>
    <w:rsid w:val="49CE3431"/>
    <w:rsid w:val="49F25388"/>
    <w:rsid w:val="4A325785"/>
    <w:rsid w:val="4A6A13C3"/>
    <w:rsid w:val="4AA76173"/>
    <w:rsid w:val="4ACC5BD9"/>
    <w:rsid w:val="4B187071"/>
    <w:rsid w:val="4B223A4B"/>
    <w:rsid w:val="4B5C6F5D"/>
    <w:rsid w:val="4B7E5126"/>
    <w:rsid w:val="4B9D30D2"/>
    <w:rsid w:val="4BBE19C6"/>
    <w:rsid w:val="4C1E06B7"/>
    <w:rsid w:val="4C3E2B07"/>
    <w:rsid w:val="4C8F5111"/>
    <w:rsid w:val="4C912C37"/>
    <w:rsid w:val="4CE511D4"/>
    <w:rsid w:val="4D0F7FFF"/>
    <w:rsid w:val="4D1A0E7E"/>
    <w:rsid w:val="4D3A32CE"/>
    <w:rsid w:val="4D7B5A7F"/>
    <w:rsid w:val="4E0F475B"/>
    <w:rsid w:val="4E52289A"/>
    <w:rsid w:val="4E685C19"/>
    <w:rsid w:val="4E791BD4"/>
    <w:rsid w:val="4EAD7AD0"/>
    <w:rsid w:val="4F0B3174"/>
    <w:rsid w:val="4F1162B1"/>
    <w:rsid w:val="4F24241E"/>
    <w:rsid w:val="4F264ADE"/>
    <w:rsid w:val="4FE614EB"/>
    <w:rsid w:val="4FE70DC0"/>
    <w:rsid w:val="501E0C85"/>
    <w:rsid w:val="50A76ECD"/>
    <w:rsid w:val="50B60EBE"/>
    <w:rsid w:val="50CF3D2E"/>
    <w:rsid w:val="510C6D30"/>
    <w:rsid w:val="517D19DC"/>
    <w:rsid w:val="51BA2C30"/>
    <w:rsid w:val="51CB2747"/>
    <w:rsid w:val="51FC6DA4"/>
    <w:rsid w:val="520738F3"/>
    <w:rsid w:val="52075749"/>
    <w:rsid w:val="52342CAF"/>
    <w:rsid w:val="5257222D"/>
    <w:rsid w:val="528B637A"/>
    <w:rsid w:val="5295513C"/>
    <w:rsid w:val="52AA2CA4"/>
    <w:rsid w:val="52AE3D04"/>
    <w:rsid w:val="52B7716F"/>
    <w:rsid w:val="52F6132D"/>
    <w:rsid w:val="5334256E"/>
    <w:rsid w:val="53397B84"/>
    <w:rsid w:val="533D4B9F"/>
    <w:rsid w:val="53486019"/>
    <w:rsid w:val="534C78B7"/>
    <w:rsid w:val="53B35B89"/>
    <w:rsid w:val="53C71634"/>
    <w:rsid w:val="540168F4"/>
    <w:rsid w:val="54104D89"/>
    <w:rsid w:val="5415239F"/>
    <w:rsid w:val="54260108"/>
    <w:rsid w:val="54686973"/>
    <w:rsid w:val="54994D7E"/>
    <w:rsid w:val="54DC110F"/>
    <w:rsid w:val="55545149"/>
    <w:rsid w:val="55603AEE"/>
    <w:rsid w:val="55747599"/>
    <w:rsid w:val="5592481B"/>
    <w:rsid w:val="55967510"/>
    <w:rsid w:val="55F83D27"/>
    <w:rsid w:val="563A433F"/>
    <w:rsid w:val="563F1955"/>
    <w:rsid w:val="565F7902"/>
    <w:rsid w:val="56BC6B02"/>
    <w:rsid w:val="56E83D9B"/>
    <w:rsid w:val="56ED315F"/>
    <w:rsid w:val="56F3629C"/>
    <w:rsid w:val="574D00A2"/>
    <w:rsid w:val="577D0987"/>
    <w:rsid w:val="57971421"/>
    <w:rsid w:val="57A8352A"/>
    <w:rsid w:val="58350677"/>
    <w:rsid w:val="58873140"/>
    <w:rsid w:val="58A65CBC"/>
    <w:rsid w:val="58BA52C3"/>
    <w:rsid w:val="594B0611"/>
    <w:rsid w:val="595079D6"/>
    <w:rsid w:val="5966544B"/>
    <w:rsid w:val="59851D75"/>
    <w:rsid w:val="59934492"/>
    <w:rsid w:val="59F1740B"/>
    <w:rsid w:val="5A0233C6"/>
    <w:rsid w:val="5A1465EF"/>
    <w:rsid w:val="5A9009D2"/>
    <w:rsid w:val="5A987886"/>
    <w:rsid w:val="5AB41883"/>
    <w:rsid w:val="5ADF7263"/>
    <w:rsid w:val="5B6B4F9B"/>
    <w:rsid w:val="5B7C2D04"/>
    <w:rsid w:val="5B894436"/>
    <w:rsid w:val="5B9067AF"/>
    <w:rsid w:val="5C115B42"/>
    <w:rsid w:val="5C3B2BBF"/>
    <w:rsid w:val="5C6739B4"/>
    <w:rsid w:val="5C846314"/>
    <w:rsid w:val="5CCB5CF1"/>
    <w:rsid w:val="5CDA4186"/>
    <w:rsid w:val="5CF60894"/>
    <w:rsid w:val="5D2E6280"/>
    <w:rsid w:val="5D94028A"/>
    <w:rsid w:val="5D997B9D"/>
    <w:rsid w:val="5DDF67A4"/>
    <w:rsid w:val="5E0314BA"/>
    <w:rsid w:val="5E281D50"/>
    <w:rsid w:val="5EA20CD3"/>
    <w:rsid w:val="5EBF3633"/>
    <w:rsid w:val="5EC7698C"/>
    <w:rsid w:val="5EDF5A84"/>
    <w:rsid w:val="5EF534F9"/>
    <w:rsid w:val="5F1A2F60"/>
    <w:rsid w:val="5F27742B"/>
    <w:rsid w:val="5F904FD0"/>
    <w:rsid w:val="5F906D7E"/>
    <w:rsid w:val="5FB011CE"/>
    <w:rsid w:val="5FB52C88"/>
    <w:rsid w:val="5FDD0F83"/>
    <w:rsid w:val="600969EF"/>
    <w:rsid w:val="600A6B30"/>
    <w:rsid w:val="60317A26"/>
    <w:rsid w:val="608A7C71"/>
    <w:rsid w:val="609F3CEB"/>
    <w:rsid w:val="60C05441"/>
    <w:rsid w:val="60EE6452"/>
    <w:rsid w:val="60F4333C"/>
    <w:rsid w:val="610E08A2"/>
    <w:rsid w:val="6125527F"/>
    <w:rsid w:val="61B72CE8"/>
    <w:rsid w:val="61B76844"/>
    <w:rsid w:val="61CA20CC"/>
    <w:rsid w:val="61E67129"/>
    <w:rsid w:val="6200643D"/>
    <w:rsid w:val="6220263B"/>
    <w:rsid w:val="622D2FAA"/>
    <w:rsid w:val="62465E1A"/>
    <w:rsid w:val="6271733B"/>
    <w:rsid w:val="62DD22DA"/>
    <w:rsid w:val="62DD422B"/>
    <w:rsid w:val="62DF24F6"/>
    <w:rsid w:val="63424833"/>
    <w:rsid w:val="63512CC8"/>
    <w:rsid w:val="635B58F5"/>
    <w:rsid w:val="635E2806"/>
    <w:rsid w:val="63860BC4"/>
    <w:rsid w:val="63B05C41"/>
    <w:rsid w:val="6477675E"/>
    <w:rsid w:val="64B654D9"/>
    <w:rsid w:val="64D23995"/>
    <w:rsid w:val="64F953C5"/>
    <w:rsid w:val="654A79CF"/>
    <w:rsid w:val="65944CDB"/>
    <w:rsid w:val="65DD6A95"/>
    <w:rsid w:val="65DF280D"/>
    <w:rsid w:val="65F77B57"/>
    <w:rsid w:val="66100C18"/>
    <w:rsid w:val="66342B59"/>
    <w:rsid w:val="66884C53"/>
    <w:rsid w:val="66976C44"/>
    <w:rsid w:val="669B6734"/>
    <w:rsid w:val="66BB29CE"/>
    <w:rsid w:val="66C7577B"/>
    <w:rsid w:val="66EE505C"/>
    <w:rsid w:val="670F2C7E"/>
    <w:rsid w:val="689773CF"/>
    <w:rsid w:val="68C31F72"/>
    <w:rsid w:val="695232F6"/>
    <w:rsid w:val="696E6382"/>
    <w:rsid w:val="69BF098B"/>
    <w:rsid w:val="69D75DFF"/>
    <w:rsid w:val="6A493ECB"/>
    <w:rsid w:val="6A521800"/>
    <w:rsid w:val="6A6E23B2"/>
    <w:rsid w:val="6AFE295E"/>
    <w:rsid w:val="6B4750DC"/>
    <w:rsid w:val="6B533A81"/>
    <w:rsid w:val="6B543869"/>
    <w:rsid w:val="6B55512C"/>
    <w:rsid w:val="6BC524A5"/>
    <w:rsid w:val="6BE04BE9"/>
    <w:rsid w:val="6BF012D0"/>
    <w:rsid w:val="6C445178"/>
    <w:rsid w:val="6C7D4B2E"/>
    <w:rsid w:val="6CC664D5"/>
    <w:rsid w:val="6D1014FE"/>
    <w:rsid w:val="6D8819DC"/>
    <w:rsid w:val="6D885538"/>
    <w:rsid w:val="6E470F4F"/>
    <w:rsid w:val="6E54333B"/>
    <w:rsid w:val="6E546255"/>
    <w:rsid w:val="6E8421A4"/>
    <w:rsid w:val="6EE54EE9"/>
    <w:rsid w:val="6EF07839"/>
    <w:rsid w:val="6F086931"/>
    <w:rsid w:val="6F1C418A"/>
    <w:rsid w:val="6F1E7F02"/>
    <w:rsid w:val="6F541B76"/>
    <w:rsid w:val="6F800BBD"/>
    <w:rsid w:val="6F83245B"/>
    <w:rsid w:val="6FA67EF8"/>
    <w:rsid w:val="6FAC3760"/>
    <w:rsid w:val="7060279C"/>
    <w:rsid w:val="70F10A19"/>
    <w:rsid w:val="714D0F73"/>
    <w:rsid w:val="71EE5B2E"/>
    <w:rsid w:val="722D120D"/>
    <w:rsid w:val="724F0D1A"/>
    <w:rsid w:val="727D244D"/>
    <w:rsid w:val="72917162"/>
    <w:rsid w:val="72BA6194"/>
    <w:rsid w:val="72C2773E"/>
    <w:rsid w:val="72D059B7"/>
    <w:rsid w:val="72DB127A"/>
    <w:rsid w:val="72EB0A43"/>
    <w:rsid w:val="73245D03"/>
    <w:rsid w:val="733028FA"/>
    <w:rsid w:val="73577F63"/>
    <w:rsid w:val="736E51D0"/>
    <w:rsid w:val="73B250BD"/>
    <w:rsid w:val="73BE1CB4"/>
    <w:rsid w:val="74017DF2"/>
    <w:rsid w:val="7416564C"/>
    <w:rsid w:val="742835D1"/>
    <w:rsid w:val="7479207F"/>
    <w:rsid w:val="74C4779E"/>
    <w:rsid w:val="750758DC"/>
    <w:rsid w:val="750C4CA1"/>
    <w:rsid w:val="75104791"/>
    <w:rsid w:val="75383CE8"/>
    <w:rsid w:val="75644A88"/>
    <w:rsid w:val="75976C60"/>
    <w:rsid w:val="75CD61DE"/>
    <w:rsid w:val="763C15B6"/>
    <w:rsid w:val="763C5F18"/>
    <w:rsid w:val="76500BBD"/>
    <w:rsid w:val="76D87530"/>
    <w:rsid w:val="76D96E05"/>
    <w:rsid w:val="76E934EC"/>
    <w:rsid w:val="77277B70"/>
    <w:rsid w:val="77336515"/>
    <w:rsid w:val="779D7E32"/>
    <w:rsid w:val="77AB254F"/>
    <w:rsid w:val="77F24622"/>
    <w:rsid w:val="780D4890"/>
    <w:rsid w:val="78175E36"/>
    <w:rsid w:val="78411105"/>
    <w:rsid w:val="786D4A31"/>
    <w:rsid w:val="78857244"/>
    <w:rsid w:val="78947487"/>
    <w:rsid w:val="78A51368"/>
    <w:rsid w:val="78D41F79"/>
    <w:rsid w:val="78FB12B4"/>
    <w:rsid w:val="79053EE1"/>
    <w:rsid w:val="791800B8"/>
    <w:rsid w:val="791E4FA3"/>
    <w:rsid w:val="792E3438"/>
    <w:rsid w:val="7947274B"/>
    <w:rsid w:val="79BA116F"/>
    <w:rsid w:val="79E93803"/>
    <w:rsid w:val="7A0643B5"/>
    <w:rsid w:val="7A2F56B9"/>
    <w:rsid w:val="7A5D550B"/>
    <w:rsid w:val="7A9C0875"/>
    <w:rsid w:val="7AEB7713"/>
    <w:rsid w:val="7B8D6D92"/>
    <w:rsid w:val="7B946D84"/>
    <w:rsid w:val="7BB75966"/>
    <w:rsid w:val="7BB816DF"/>
    <w:rsid w:val="7BE36492"/>
    <w:rsid w:val="7C0B5CB2"/>
    <w:rsid w:val="7C374CF9"/>
    <w:rsid w:val="7C594C70"/>
    <w:rsid w:val="7C86358B"/>
    <w:rsid w:val="7CC85951"/>
    <w:rsid w:val="7CCC5441"/>
    <w:rsid w:val="7CEF0BED"/>
    <w:rsid w:val="7CF5799B"/>
    <w:rsid w:val="7D4A45B8"/>
    <w:rsid w:val="7D9F2B56"/>
    <w:rsid w:val="7DAE0FEB"/>
    <w:rsid w:val="7DAE4B47"/>
    <w:rsid w:val="7DD50326"/>
    <w:rsid w:val="7DE92023"/>
    <w:rsid w:val="7E203DBE"/>
    <w:rsid w:val="7E24305B"/>
    <w:rsid w:val="7E7F0292"/>
    <w:rsid w:val="7EC56EDB"/>
    <w:rsid w:val="7ECF1219"/>
    <w:rsid w:val="7ED700CE"/>
    <w:rsid w:val="7EF46ED2"/>
    <w:rsid w:val="7F182BC0"/>
    <w:rsid w:val="7F24473B"/>
    <w:rsid w:val="7F536289"/>
    <w:rsid w:val="7F914720"/>
    <w:rsid w:val="7FB14DC3"/>
    <w:rsid w:val="A7FFB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1"/>
    <w:pPr>
      <w:keepNext/>
      <w:keepLines/>
      <w:spacing w:before="340" w:after="330" w:line="576" w:lineRule="auto"/>
      <w:outlineLvl w:val="0"/>
    </w:pPr>
    <w:rPr>
      <w:b/>
      <w:bCs/>
      <w:kern w:val="44"/>
      <w:sz w:val="44"/>
      <w:szCs w:val="44"/>
    </w:rPr>
  </w:style>
  <w:style w:type="paragraph" w:styleId="6">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7">
    <w:name w:val="heading 3"/>
    <w:basedOn w:val="1"/>
    <w:next w:val="1"/>
    <w:unhideWhenUsed/>
    <w:qFormat/>
    <w:uiPriority w:val="9"/>
    <w:pPr>
      <w:keepNext/>
      <w:keepLines/>
      <w:spacing w:before="260" w:after="260" w:line="416" w:lineRule="auto"/>
      <w:outlineLvl w:val="2"/>
    </w:pPr>
    <w:rPr>
      <w:b/>
      <w:bCs/>
      <w:sz w:val="32"/>
      <w:szCs w:val="32"/>
    </w:rPr>
  </w:style>
  <w:style w:type="paragraph" w:styleId="8">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00"/>
    </w:pPr>
    <w:rPr>
      <w:rFonts w:ascii="Arial" w:hAnsi="Arial" w:eastAsia="仿宋_GB2312"/>
      <w:sz w:val="28"/>
    </w:rPr>
  </w:style>
  <w:style w:type="paragraph" w:styleId="3">
    <w:name w:val="envelope return"/>
    <w:basedOn w:val="1"/>
    <w:next w:val="4"/>
    <w:qFormat/>
    <w:uiPriority w:val="99"/>
    <w:pPr>
      <w:snapToGrid w:val="0"/>
    </w:pPr>
    <w:rPr>
      <w:rFonts w:ascii="Arial" w:hAnsi="Arial"/>
    </w:rPr>
  </w:style>
  <w:style w:type="paragraph" w:styleId="4">
    <w:name w:val="toc 7"/>
    <w:basedOn w:val="1"/>
    <w:next w:val="1"/>
    <w:qFormat/>
    <w:uiPriority w:val="0"/>
    <w:pPr>
      <w:ind w:left="1260"/>
      <w:jc w:val="left"/>
    </w:pPr>
    <w:rPr>
      <w:szCs w:val="21"/>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Plain Text"/>
    <w:basedOn w:val="1"/>
    <w:unhideWhenUsed/>
    <w:qFormat/>
    <w:uiPriority w:val="0"/>
    <w:rPr>
      <w:rFonts w:ascii="宋体" w:hAnsi="Courier New"/>
      <w:szCs w:val="22"/>
    </w:rPr>
  </w:style>
  <w:style w:type="paragraph" w:styleId="12">
    <w:name w:val="toc 8"/>
    <w:basedOn w:val="1"/>
    <w:next w:val="1"/>
    <w:qFormat/>
    <w:uiPriority w:val="0"/>
    <w:pPr>
      <w:ind w:left="2940" w:leftChars="140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toc 1"/>
    <w:basedOn w:val="1"/>
    <w:next w:val="1"/>
    <w:semiHidden/>
    <w:unhideWhenUsed/>
    <w:qFormat/>
    <w:uiPriority w:val="39"/>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2"/>
    <w:next w:val="1"/>
    <w:qFormat/>
    <w:uiPriority w:val="99"/>
    <w:pPr>
      <w:tabs>
        <w:tab w:val="left" w:pos="0"/>
        <w:tab w:val="left" w:pos="993"/>
        <w:tab w:val="left" w:pos="1134"/>
      </w:tabs>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0"/>
    <w:rPr>
      <w:rFonts w:cs="Times New Roman"/>
      <w:color w:val="0000FF"/>
      <w:u w:val="single"/>
    </w:rPr>
  </w:style>
  <w:style w:type="paragraph" w:customStyle="1" w:styleId="21">
    <w:name w:val="无间隔1"/>
    <w:basedOn w:val="1"/>
    <w:qFormat/>
    <w:uiPriority w:val="99"/>
    <w:pPr>
      <w:spacing w:line="400" w:lineRule="exact"/>
    </w:pPr>
    <w:rPr>
      <w:sz w:val="24"/>
    </w:rPr>
  </w:style>
  <w:style w:type="paragraph" w:customStyle="1" w:styleId="22">
    <w:name w:val="BodyText1I2"/>
    <w:basedOn w:val="23"/>
    <w:qFormat/>
    <w:uiPriority w:val="0"/>
    <w:pPr>
      <w:ind w:left="420" w:firstLine="420" w:firstLineChars="200"/>
      <w:jc w:val="both"/>
      <w:textAlignment w:val="baseline"/>
    </w:pPr>
  </w:style>
  <w:style w:type="paragraph" w:customStyle="1" w:styleId="23">
    <w:name w:val="BodyTextIndent"/>
    <w:basedOn w:val="1"/>
    <w:next w:val="2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6">
    <w:name w:val="List Paragraph"/>
    <w:basedOn w:val="1"/>
    <w:qFormat/>
    <w:uiPriority w:val="34"/>
    <w:pPr>
      <w:ind w:firstLine="420" w:firstLineChars="200"/>
    </w:pPr>
  </w:style>
  <w:style w:type="paragraph" w:customStyle="1" w:styleId="27">
    <w:name w:val="_Style 18"/>
    <w:basedOn w:val="1"/>
    <w:next w:val="26"/>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8">
    <w:name w:val="正文new"/>
    <w:basedOn w:val="1"/>
    <w:qFormat/>
    <w:uiPriority w:val="0"/>
    <w:pPr>
      <w:adjustRightInd w:val="0"/>
      <w:snapToGrid w:val="0"/>
      <w:ind w:firstLine="480" w:firstLineChars="200"/>
    </w:pPr>
  </w:style>
  <w:style w:type="paragraph" w:customStyle="1" w:styleId="29">
    <w:name w:val="p15"/>
    <w:basedOn w:val="1"/>
    <w:next w:val="9"/>
    <w:qFormat/>
    <w:uiPriority w:val="99"/>
    <w:pPr>
      <w:widowControl/>
    </w:pPr>
    <w:rPr>
      <w:kern w:val="0"/>
    </w:rPr>
  </w:style>
  <w:style w:type="paragraph" w:customStyle="1" w:styleId="30">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24770</Words>
  <Characters>25870</Characters>
  <Lines>0</Lines>
  <Paragraphs>0</Paragraphs>
  <TotalTime>9</TotalTime>
  <ScaleCrop>false</ScaleCrop>
  <LinksUpToDate>false</LinksUpToDate>
  <CharactersWithSpaces>26978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2023-09-25T18:00:00Z</dcterms:created>
  <dc:creator>刘梦雅</dc:creator>
  <cp:lastModifiedBy>未完待续...y</cp:lastModifiedBy>
  <cp:lastPrinted>2023-10-11T22:31:00Z</cp:lastPrinted>
  <dcterms:modified xsi:type="dcterms:W3CDTF">2026-05-25T02:31:38Z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9443941435D64A9591C1CD82B9B6A0DE_13</vt:lpwstr>
  </property>
  <property fmtid="{D5CDD505-2E9C-101B-9397-08002B2CF9AE}" pid="4" name="KSOTemplateDocerSaveRecord">
    <vt:lpwstr>eyJoZGlkIjoiODA2ZWY5MTdmMWFlMzI2OWYzNjAyNDY1Y2U1ZDk0MTkiLCJ1c2VySWQiOiI0MjA0MTc0ODUifQ==</vt:lpwstr>
  </property>
</Properties>
</file>