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CE9E0">
      <w:pPr>
        <w:spacing w:line="360" w:lineRule="auto"/>
        <w:jc w:val="center"/>
        <w:rPr>
          <w:rFonts w:ascii="宋体" w:hAnsi="宋体"/>
          <w:b/>
          <w:bCs/>
          <w:sz w:val="32"/>
          <w:szCs w:val="32"/>
          <w:highlight w:val="none"/>
          <w:u w:val="single"/>
        </w:rPr>
      </w:pPr>
    </w:p>
    <w:p w14:paraId="4A732C40">
      <w:pPr>
        <w:spacing w:line="360" w:lineRule="auto"/>
        <w:jc w:val="center"/>
        <w:rPr>
          <w:rFonts w:ascii="宋体" w:hAnsi="宋体"/>
          <w:b/>
          <w:bCs/>
          <w:sz w:val="32"/>
          <w:szCs w:val="32"/>
          <w:highlight w:val="none"/>
          <w:u w:val="single"/>
        </w:rPr>
      </w:pPr>
    </w:p>
    <w:p w14:paraId="1FB57026">
      <w:pPr>
        <w:pStyle w:val="2"/>
        <w:jc w:val="center"/>
        <w:rPr>
          <w:rFonts w:hint="eastAsia" w:cs="Times New Roman"/>
          <w:b/>
          <w:kern w:val="2"/>
          <w:sz w:val="52"/>
          <w:szCs w:val="52"/>
          <w:highlight w:val="none"/>
          <w:lang w:val="en-US" w:eastAsia="zh-CN" w:bidi="ar-SA"/>
        </w:rPr>
      </w:pPr>
      <w:r>
        <w:rPr>
          <w:rFonts w:hint="eastAsia" w:cs="Times New Roman"/>
          <w:b/>
          <w:kern w:val="2"/>
          <w:sz w:val="48"/>
          <w:szCs w:val="48"/>
          <w:highlight w:val="none"/>
          <w:lang w:val="en-US" w:eastAsia="zh-CN" w:bidi="ar-SA"/>
        </w:rPr>
        <w:t>安徽融城高新技术产业发展集团有限公司2026年人力资源管理咨询项目</w:t>
      </w:r>
    </w:p>
    <w:p w14:paraId="6B9C6C2C">
      <w:pPr>
        <w:pStyle w:val="16"/>
        <w:rPr>
          <w:rFonts w:hint="eastAsia" w:ascii="宋体" w:hAnsi="宋体"/>
          <w:b/>
          <w:bCs/>
          <w:sz w:val="32"/>
          <w:szCs w:val="32"/>
          <w:highlight w:val="none"/>
          <w:u w:val="single"/>
          <w:lang w:eastAsia="zh-CN"/>
        </w:rPr>
      </w:pPr>
    </w:p>
    <w:p w14:paraId="689F2009">
      <w:pPr>
        <w:rPr>
          <w:rFonts w:hint="eastAsia"/>
          <w:highlight w:val="none"/>
          <w:lang w:eastAsia="zh-CN"/>
        </w:rPr>
      </w:pPr>
    </w:p>
    <w:p w14:paraId="5DC4F925">
      <w:pPr>
        <w:jc w:val="center"/>
        <w:rPr>
          <w:rFonts w:ascii="宋体" w:hAnsi="宋体"/>
          <w:sz w:val="32"/>
          <w:szCs w:val="32"/>
          <w:highlight w:val="none"/>
        </w:rPr>
      </w:pPr>
      <w:r>
        <w:rPr>
          <w:rFonts w:hint="eastAsia" w:ascii="宋体" w:hAnsi="宋体"/>
          <w:b/>
          <w:bCs/>
          <w:sz w:val="72"/>
          <w:szCs w:val="72"/>
          <w:highlight w:val="none"/>
        </w:rPr>
        <w:t>竞争性磋商文件</w:t>
      </w:r>
    </w:p>
    <w:p w14:paraId="68AB93F3">
      <w:pPr>
        <w:jc w:val="center"/>
        <w:rPr>
          <w:rFonts w:hint="eastAsia" w:ascii="宋体" w:hAnsi="宋体"/>
          <w:b/>
          <w:sz w:val="32"/>
          <w:szCs w:val="32"/>
          <w:highlight w:val="none"/>
          <w:lang w:eastAsia="zh-CN"/>
        </w:rPr>
      </w:pPr>
    </w:p>
    <w:p w14:paraId="7B75415A">
      <w:pPr>
        <w:jc w:val="center"/>
        <w:rPr>
          <w:rFonts w:hint="default" w:ascii="宋体" w:hAnsi="宋体"/>
          <w:sz w:val="32"/>
          <w:szCs w:val="32"/>
          <w:highlight w:val="none"/>
          <w:lang w:val="en-US"/>
        </w:rPr>
      </w:pPr>
      <w:r>
        <w:rPr>
          <w:rFonts w:hint="eastAsia" w:ascii="宋体" w:hAnsi="宋体"/>
          <w:b/>
          <w:sz w:val="32"/>
          <w:szCs w:val="32"/>
          <w:highlight w:val="none"/>
          <w:lang w:eastAsia="zh-CN"/>
        </w:rPr>
        <w:t>（</w:t>
      </w:r>
      <w:r>
        <w:rPr>
          <w:rFonts w:hint="eastAsia" w:ascii="宋体" w:hAnsi="宋体"/>
          <w:b/>
          <w:sz w:val="32"/>
          <w:szCs w:val="32"/>
          <w:highlight w:val="none"/>
        </w:rPr>
        <w:t>项目编号：</w:t>
      </w:r>
      <w:r>
        <w:rPr>
          <w:rFonts w:hint="eastAsia" w:ascii="宋体" w:hAnsi="宋体" w:cs="宋体"/>
          <w:b/>
          <w:spacing w:val="20"/>
          <w:sz w:val="32"/>
          <w:szCs w:val="32"/>
          <w:highlight w:val="none"/>
          <w:lang w:val="en-US" w:eastAsia="zh-CN"/>
        </w:rPr>
        <w:t>ZZY-20260020）</w:t>
      </w:r>
    </w:p>
    <w:p w14:paraId="7677A592">
      <w:pPr>
        <w:rPr>
          <w:rFonts w:ascii="宋体" w:hAnsi="宋体"/>
          <w:sz w:val="32"/>
          <w:szCs w:val="32"/>
          <w:highlight w:val="none"/>
        </w:rPr>
      </w:pPr>
    </w:p>
    <w:p w14:paraId="33B9EB6C">
      <w:pPr>
        <w:rPr>
          <w:rFonts w:ascii="宋体" w:hAnsi="宋体"/>
          <w:sz w:val="32"/>
          <w:szCs w:val="32"/>
          <w:highlight w:val="none"/>
        </w:rPr>
      </w:pPr>
    </w:p>
    <w:p w14:paraId="1F2E276D">
      <w:pPr>
        <w:rPr>
          <w:rFonts w:ascii="宋体" w:hAnsi="宋体"/>
          <w:sz w:val="32"/>
          <w:szCs w:val="32"/>
          <w:highlight w:val="none"/>
        </w:rPr>
      </w:pPr>
    </w:p>
    <w:p w14:paraId="79C35EBF">
      <w:pPr>
        <w:rPr>
          <w:rFonts w:ascii="宋体" w:hAnsi="宋体"/>
          <w:sz w:val="32"/>
          <w:szCs w:val="32"/>
          <w:highlight w:val="none"/>
        </w:rPr>
      </w:pPr>
    </w:p>
    <w:p w14:paraId="2BB7F454">
      <w:pPr>
        <w:rPr>
          <w:rFonts w:ascii="宋体" w:hAnsi="宋体"/>
          <w:sz w:val="32"/>
          <w:szCs w:val="32"/>
          <w:highlight w:val="none"/>
        </w:rPr>
      </w:pPr>
    </w:p>
    <w:p w14:paraId="347B6EF4">
      <w:pPr>
        <w:rPr>
          <w:rFonts w:ascii="宋体" w:hAnsi="宋体"/>
          <w:sz w:val="32"/>
          <w:szCs w:val="32"/>
          <w:highlight w:val="none"/>
        </w:rPr>
      </w:pPr>
    </w:p>
    <w:p w14:paraId="68EFFD37">
      <w:pPr>
        <w:rPr>
          <w:rFonts w:ascii="宋体" w:hAnsi="宋体"/>
          <w:sz w:val="32"/>
          <w:szCs w:val="32"/>
          <w:highlight w:val="none"/>
        </w:rPr>
      </w:pPr>
    </w:p>
    <w:p w14:paraId="3D9464E7">
      <w:pPr>
        <w:rPr>
          <w:rFonts w:ascii="宋体" w:hAnsi="宋体"/>
          <w:sz w:val="32"/>
          <w:szCs w:val="32"/>
          <w:highlight w:val="none"/>
        </w:rPr>
      </w:pPr>
    </w:p>
    <w:p w14:paraId="06CDD9A4">
      <w:pPr>
        <w:rPr>
          <w:rFonts w:ascii="宋体" w:hAnsi="宋体"/>
          <w:sz w:val="32"/>
          <w:szCs w:val="32"/>
          <w:highlight w:val="none"/>
        </w:rPr>
      </w:pPr>
    </w:p>
    <w:p w14:paraId="6B58C2DC">
      <w:pPr>
        <w:ind w:firstLine="964" w:firstLineChars="300"/>
        <w:jc w:val="both"/>
        <w:rPr>
          <w:rFonts w:hint="eastAsia" w:ascii="宋体" w:hAnsi="宋体"/>
          <w:b/>
          <w:sz w:val="32"/>
          <w:szCs w:val="32"/>
          <w:highlight w:val="none"/>
          <w:u w:val="single"/>
          <w:lang w:eastAsia="zh-CN"/>
        </w:rPr>
      </w:pPr>
      <w:r>
        <w:rPr>
          <w:rFonts w:hint="eastAsia" w:ascii="宋体" w:hAnsi="宋体"/>
          <w:b/>
          <w:sz w:val="32"/>
          <w:szCs w:val="32"/>
          <w:highlight w:val="none"/>
        </w:rPr>
        <w:t>采购人：</w:t>
      </w:r>
      <w:r>
        <w:rPr>
          <w:rFonts w:hint="eastAsia" w:ascii="宋体" w:hAnsi="宋体"/>
          <w:b/>
          <w:sz w:val="32"/>
          <w:szCs w:val="32"/>
          <w:highlight w:val="none"/>
          <w:u w:val="single"/>
          <w:lang w:eastAsia="zh-CN"/>
        </w:rPr>
        <w:t>安徽融城高新技术产业发展集团有限公司</w:t>
      </w:r>
    </w:p>
    <w:p w14:paraId="0FF4A8C5">
      <w:pPr>
        <w:pStyle w:val="16"/>
        <w:rPr>
          <w:rFonts w:hint="eastAsia"/>
          <w:highlight w:val="none"/>
        </w:rPr>
      </w:pPr>
    </w:p>
    <w:p w14:paraId="4F91D4C2">
      <w:pPr>
        <w:rPr>
          <w:rFonts w:ascii="宋体" w:hAnsi="宋体"/>
          <w:b/>
          <w:sz w:val="32"/>
          <w:szCs w:val="32"/>
          <w:highlight w:val="none"/>
          <w:u w:val="single"/>
        </w:rPr>
      </w:pPr>
    </w:p>
    <w:p w14:paraId="2ED0A9A9">
      <w:pPr>
        <w:spacing w:line="440" w:lineRule="exact"/>
        <w:ind w:right="42" w:rightChars="20"/>
        <w:jc w:val="center"/>
        <w:rPr>
          <w:rFonts w:ascii="宋体" w:hAnsi="宋体" w:cs="Arial"/>
          <w:b/>
          <w:sz w:val="32"/>
          <w:szCs w:val="32"/>
          <w:highlight w:val="none"/>
        </w:rPr>
      </w:pPr>
    </w:p>
    <w:p w14:paraId="40E0483D">
      <w:pPr>
        <w:spacing w:line="440" w:lineRule="exact"/>
        <w:ind w:right="42" w:rightChars="20"/>
        <w:jc w:val="center"/>
        <w:rPr>
          <w:rFonts w:ascii="宋体" w:hAnsi="宋体" w:cs="Arial"/>
          <w:b/>
          <w:sz w:val="32"/>
          <w:szCs w:val="32"/>
          <w:highlight w:val="none"/>
        </w:rPr>
      </w:pPr>
    </w:p>
    <w:p w14:paraId="4BA338DB">
      <w:pPr>
        <w:spacing w:line="440" w:lineRule="exact"/>
        <w:ind w:right="42" w:rightChars="20"/>
        <w:jc w:val="center"/>
        <w:rPr>
          <w:rFonts w:ascii="宋体" w:hAnsi="宋体" w:cs="Arial"/>
          <w:b/>
          <w:sz w:val="32"/>
          <w:szCs w:val="32"/>
          <w:highlight w:val="none"/>
        </w:rPr>
      </w:pPr>
      <w:r>
        <w:rPr>
          <w:rFonts w:ascii="宋体" w:hAnsi="宋体" w:cs="Arial"/>
          <w:b/>
          <w:sz w:val="32"/>
          <w:szCs w:val="32"/>
          <w:highlight w:val="none"/>
        </w:rPr>
        <w:t>20</w:t>
      </w:r>
      <w:r>
        <w:rPr>
          <w:rFonts w:hint="eastAsia" w:ascii="宋体" w:hAnsi="宋体" w:cs="Arial"/>
          <w:b/>
          <w:sz w:val="32"/>
          <w:szCs w:val="32"/>
          <w:highlight w:val="none"/>
        </w:rPr>
        <w:t>2</w:t>
      </w:r>
      <w:r>
        <w:rPr>
          <w:rFonts w:hint="eastAsia" w:ascii="宋体" w:hAnsi="宋体" w:cs="Arial"/>
          <w:b/>
          <w:sz w:val="32"/>
          <w:szCs w:val="32"/>
          <w:highlight w:val="none"/>
          <w:lang w:val="en-US" w:eastAsia="zh-CN"/>
        </w:rPr>
        <w:t>6</w:t>
      </w:r>
      <w:r>
        <w:rPr>
          <w:rFonts w:hint="eastAsia" w:ascii="宋体" w:hAnsi="宋体" w:cs="Arial"/>
          <w:b/>
          <w:sz w:val="32"/>
          <w:szCs w:val="32"/>
          <w:highlight w:val="none"/>
        </w:rPr>
        <w:t>年</w:t>
      </w:r>
      <w:r>
        <w:rPr>
          <w:rFonts w:hint="eastAsia" w:ascii="宋体" w:hAnsi="宋体" w:cs="Arial"/>
          <w:b/>
          <w:sz w:val="32"/>
          <w:szCs w:val="32"/>
          <w:highlight w:val="none"/>
          <w:u w:val="none"/>
          <w:lang w:val="en-US" w:eastAsia="zh-CN"/>
        </w:rPr>
        <w:t>4</w:t>
      </w:r>
      <w:r>
        <w:rPr>
          <w:rFonts w:hint="eastAsia" w:ascii="宋体" w:hAnsi="宋体" w:cs="Arial"/>
          <w:b/>
          <w:sz w:val="32"/>
          <w:szCs w:val="32"/>
          <w:highlight w:val="none"/>
        </w:rPr>
        <w:t>月</w:t>
      </w:r>
      <w:r>
        <w:rPr>
          <w:rFonts w:ascii="宋体" w:hAnsi="宋体" w:cs="Arial"/>
          <w:b/>
          <w:sz w:val="32"/>
          <w:szCs w:val="32"/>
          <w:highlight w:val="none"/>
        </w:rPr>
        <w:t xml:space="preserve"> </w:t>
      </w:r>
    </w:p>
    <w:p w14:paraId="09D1AFF0">
      <w:pPr>
        <w:widowControl/>
        <w:jc w:val="left"/>
        <w:rPr>
          <w:rFonts w:ascii="宋体" w:hAnsi="宋体"/>
          <w:sz w:val="32"/>
          <w:szCs w:val="32"/>
          <w:highlight w:val="none"/>
        </w:rPr>
      </w:pPr>
      <w:r>
        <w:rPr>
          <w:rFonts w:ascii="宋体" w:hAnsi="宋体"/>
          <w:sz w:val="32"/>
          <w:szCs w:val="32"/>
          <w:highlight w:val="none"/>
        </w:rPr>
        <w:br w:type="page"/>
      </w:r>
    </w:p>
    <w:p w14:paraId="60224B4D">
      <w:pPr>
        <w:tabs>
          <w:tab w:val="left" w:pos="563"/>
        </w:tabs>
        <w:spacing w:before="54"/>
        <w:ind w:right="133"/>
        <w:jc w:val="center"/>
        <w:rPr>
          <w:rFonts w:ascii="宋体" w:hAnsi="宋体"/>
          <w:b/>
          <w:sz w:val="32"/>
          <w:highlight w:val="none"/>
        </w:rPr>
      </w:pPr>
      <w:r>
        <w:rPr>
          <w:rFonts w:ascii="宋体" w:hAnsi="宋体"/>
          <w:b/>
          <w:sz w:val="32"/>
          <w:highlight w:val="none"/>
        </w:rPr>
        <w:t>目</w:t>
      </w:r>
      <w:r>
        <w:rPr>
          <w:rFonts w:ascii="宋体" w:hAnsi="宋体"/>
          <w:b/>
          <w:sz w:val="32"/>
          <w:highlight w:val="none"/>
        </w:rPr>
        <w:tab/>
      </w:r>
      <w:r>
        <w:rPr>
          <w:rFonts w:ascii="宋体" w:hAnsi="宋体"/>
          <w:b/>
          <w:sz w:val="32"/>
          <w:highlight w:val="none"/>
        </w:rPr>
        <w:t>录</w:t>
      </w:r>
    </w:p>
    <w:p w14:paraId="55D92CD8">
      <w:pPr>
        <w:pStyle w:val="22"/>
        <w:rPr>
          <w:rFonts w:ascii="宋体" w:hAnsi="宋体"/>
          <w:b/>
          <w:sz w:val="32"/>
          <w:highlight w:val="none"/>
        </w:rPr>
      </w:pPr>
    </w:p>
    <w:p w14:paraId="54FC79F2">
      <w:pPr>
        <w:pStyle w:val="13"/>
        <w:tabs>
          <w:tab w:val="right" w:leader="dot" w:pos="8890"/>
        </w:tabs>
        <w:spacing w:line="480" w:lineRule="auto"/>
        <w:rPr>
          <w:b/>
          <w:bCs/>
          <w:highlight w:val="none"/>
        </w:rPr>
      </w:pPr>
      <w:r>
        <w:rPr>
          <w:b/>
          <w:bCs/>
          <w:highlight w:val="none"/>
        </w:rPr>
        <w:fldChar w:fldCharType="begin"/>
      </w:r>
      <w:r>
        <w:rPr>
          <w:b/>
          <w:bCs/>
          <w:highlight w:val="none"/>
        </w:rPr>
        <w:instrText xml:space="preserve">TOC \o "1-1" \h \u </w:instrText>
      </w:r>
      <w:r>
        <w:rPr>
          <w:b/>
          <w:bCs/>
          <w:highlight w:val="none"/>
        </w:rPr>
        <w:fldChar w:fldCharType="separate"/>
      </w:r>
      <w:r>
        <w:rPr>
          <w:b/>
          <w:bCs/>
          <w:highlight w:val="none"/>
        </w:rPr>
        <w:fldChar w:fldCharType="begin"/>
      </w:r>
      <w:r>
        <w:rPr>
          <w:b/>
          <w:bCs/>
          <w:highlight w:val="none"/>
        </w:rPr>
        <w:instrText xml:space="preserve"> HYPERLINK \l _Toc24676 </w:instrText>
      </w:r>
      <w:r>
        <w:rPr>
          <w:b/>
          <w:bCs/>
          <w:highlight w:val="none"/>
        </w:rPr>
        <w:fldChar w:fldCharType="separate"/>
      </w:r>
      <w:r>
        <w:rPr>
          <w:rFonts w:hint="eastAsia" w:ascii="宋体" w:hAnsi="宋体"/>
          <w:b/>
          <w:bCs/>
          <w:szCs w:val="32"/>
          <w:highlight w:val="none"/>
        </w:rPr>
        <w:t>第一章 竞争性磋商公告</w:t>
      </w:r>
      <w:r>
        <w:rPr>
          <w:b/>
          <w:bCs/>
          <w:highlight w:val="none"/>
        </w:rPr>
        <w:tab/>
      </w:r>
      <w:r>
        <w:rPr>
          <w:b/>
          <w:bCs/>
          <w:highlight w:val="none"/>
        </w:rPr>
        <w:fldChar w:fldCharType="begin"/>
      </w:r>
      <w:r>
        <w:rPr>
          <w:b/>
          <w:bCs/>
          <w:highlight w:val="none"/>
        </w:rPr>
        <w:instrText xml:space="preserve"> PAGEREF _Toc24676 \h </w:instrText>
      </w:r>
      <w:r>
        <w:rPr>
          <w:b/>
          <w:bCs/>
          <w:highlight w:val="none"/>
        </w:rPr>
        <w:fldChar w:fldCharType="separate"/>
      </w:r>
      <w:r>
        <w:rPr>
          <w:b/>
          <w:bCs/>
          <w:highlight w:val="none"/>
        </w:rPr>
        <w:t>1</w:t>
      </w:r>
      <w:r>
        <w:rPr>
          <w:b/>
          <w:bCs/>
          <w:highlight w:val="none"/>
        </w:rPr>
        <w:fldChar w:fldCharType="end"/>
      </w:r>
      <w:r>
        <w:rPr>
          <w:b/>
          <w:bCs/>
          <w:highlight w:val="none"/>
        </w:rPr>
        <w:fldChar w:fldCharType="end"/>
      </w:r>
    </w:p>
    <w:p w14:paraId="51A6B8FE">
      <w:pPr>
        <w:pStyle w:val="13"/>
        <w:tabs>
          <w:tab w:val="right" w:leader="dot" w:pos="8890"/>
        </w:tabs>
        <w:spacing w:line="480" w:lineRule="auto"/>
        <w:rPr>
          <w:b/>
          <w:bCs/>
          <w:highlight w:val="none"/>
        </w:rPr>
      </w:pPr>
      <w:r>
        <w:rPr>
          <w:b/>
          <w:bCs/>
          <w:highlight w:val="none"/>
        </w:rPr>
        <w:fldChar w:fldCharType="begin"/>
      </w:r>
      <w:r>
        <w:rPr>
          <w:b/>
          <w:bCs/>
          <w:highlight w:val="none"/>
        </w:rPr>
        <w:instrText xml:space="preserve"> HYPERLINK \l _Toc17991 </w:instrText>
      </w:r>
      <w:r>
        <w:rPr>
          <w:b/>
          <w:bCs/>
          <w:highlight w:val="none"/>
        </w:rPr>
        <w:fldChar w:fldCharType="separate"/>
      </w:r>
      <w:r>
        <w:rPr>
          <w:rFonts w:hint="eastAsia" w:ascii="宋体" w:hAnsi="宋体"/>
          <w:b/>
          <w:bCs/>
          <w:szCs w:val="32"/>
          <w:highlight w:val="none"/>
        </w:rPr>
        <w:t>第二章 供应商须知</w:t>
      </w:r>
      <w:r>
        <w:rPr>
          <w:b/>
          <w:bCs/>
          <w:highlight w:val="none"/>
        </w:rPr>
        <w:tab/>
      </w:r>
      <w:r>
        <w:rPr>
          <w:b/>
          <w:bCs/>
          <w:highlight w:val="none"/>
        </w:rPr>
        <w:fldChar w:fldCharType="begin"/>
      </w:r>
      <w:r>
        <w:rPr>
          <w:b/>
          <w:bCs/>
          <w:highlight w:val="none"/>
        </w:rPr>
        <w:instrText xml:space="preserve"> PAGEREF _Toc17991 \h </w:instrText>
      </w:r>
      <w:r>
        <w:rPr>
          <w:b/>
          <w:bCs/>
          <w:highlight w:val="none"/>
        </w:rPr>
        <w:fldChar w:fldCharType="separate"/>
      </w:r>
      <w:r>
        <w:rPr>
          <w:b/>
          <w:bCs/>
          <w:highlight w:val="none"/>
        </w:rPr>
        <w:t>3</w:t>
      </w:r>
      <w:r>
        <w:rPr>
          <w:b/>
          <w:bCs/>
          <w:highlight w:val="none"/>
        </w:rPr>
        <w:fldChar w:fldCharType="end"/>
      </w:r>
      <w:r>
        <w:rPr>
          <w:b/>
          <w:bCs/>
          <w:highlight w:val="none"/>
        </w:rPr>
        <w:fldChar w:fldCharType="end"/>
      </w:r>
    </w:p>
    <w:p w14:paraId="7A88ED9E">
      <w:pPr>
        <w:pStyle w:val="13"/>
        <w:tabs>
          <w:tab w:val="right" w:leader="dot" w:pos="8890"/>
        </w:tabs>
        <w:spacing w:line="480" w:lineRule="auto"/>
        <w:rPr>
          <w:b/>
          <w:bCs/>
          <w:highlight w:val="none"/>
        </w:rPr>
      </w:pPr>
      <w:r>
        <w:rPr>
          <w:b/>
          <w:bCs/>
          <w:highlight w:val="none"/>
        </w:rPr>
        <w:fldChar w:fldCharType="begin"/>
      </w:r>
      <w:r>
        <w:rPr>
          <w:b/>
          <w:bCs/>
          <w:highlight w:val="none"/>
        </w:rPr>
        <w:instrText xml:space="preserve"> HYPERLINK \l _Toc14598 </w:instrText>
      </w:r>
      <w:r>
        <w:rPr>
          <w:b/>
          <w:bCs/>
          <w:highlight w:val="none"/>
        </w:rPr>
        <w:fldChar w:fldCharType="separate"/>
      </w:r>
      <w:r>
        <w:rPr>
          <w:rFonts w:hint="eastAsia" w:ascii="宋体" w:hAnsi="宋体"/>
          <w:b/>
          <w:bCs/>
          <w:szCs w:val="32"/>
          <w:highlight w:val="none"/>
        </w:rPr>
        <w:t>第三章 采购需求</w:t>
      </w:r>
      <w:r>
        <w:rPr>
          <w:b/>
          <w:bCs/>
          <w:highlight w:val="none"/>
        </w:rPr>
        <w:tab/>
      </w:r>
      <w:r>
        <w:rPr>
          <w:b/>
          <w:bCs/>
          <w:highlight w:val="none"/>
        </w:rPr>
        <w:fldChar w:fldCharType="begin"/>
      </w:r>
      <w:r>
        <w:rPr>
          <w:b/>
          <w:bCs/>
          <w:highlight w:val="none"/>
        </w:rPr>
        <w:instrText xml:space="preserve"> PAGEREF _Toc14598 \h </w:instrText>
      </w:r>
      <w:r>
        <w:rPr>
          <w:b/>
          <w:bCs/>
          <w:highlight w:val="none"/>
        </w:rPr>
        <w:fldChar w:fldCharType="separate"/>
      </w:r>
      <w:r>
        <w:rPr>
          <w:b/>
          <w:bCs/>
          <w:highlight w:val="none"/>
        </w:rPr>
        <w:t>1</w:t>
      </w:r>
      <w:r>
        <w:rPr>
          <w:rFonts w:hint="eastAsia"/>
          <w:b/>
          <w:bCs/>
          <w:highlight w:val="none"/>
          <w:lang w:val="en-US" w:eastAsia="zh-CN"/>
        </w:rPr>
        <w:t>8</w:t>
      </w:r>
      <w:r>
        <w:rPr>
          <w:b/>
          <w:bCs/>
          <w:highlight w:val="none"/>
        </w:rPr>
        <w:fldChar w:fldCharType="end"/>
      </w:r>
      <w:r>
        <w:rPr>
          <w:b/>
          <w:bCs/>
          <w:highlight w:val="none"/>
        </w:rPr>
        <w:fldChar w:fldCharType="end"/>
      </w:r>
    </w:p>
    <w:p w14:paraId="4642E087">
      <w:pPr>
        <w:pStyle w:val="13"/>
        <w:tabs>
          <w:tab w:val="right" w:leader="dot" w:pos="8890"/>
        </w:tabs>
        <w:spacing w:line="480" w:lineRule="auto"/>
        <w:rPr>
          <w:b/>
          <w:bCs/>
          <w:highlight w:val="none"/>
        </w:rPr>
      </w:pPr>
      <w:r>
        <w:rPr>
          <w:b/>
          <w:bCs/>
          <w:highlight w:val="none"/>
        </w:rPr>
        <w:fldChar w:fldCharType="begin"/>
      </w:r>
      <w:r>
        <w:rPr>
          <w:b/>
          <w:bCs/>
          <w:highlight w:val="none"/>
        </w:rPr>
        <w:instrText xml:space="preserve"> HYPERLINK \l _Toc24605 </w:instrText>
      </w:r>
      <w:r>
        <w:rPr>
          <w:b/>
          <w:bCs/>
          <w:highlight w:val="none"/>
        </w:rPr>
        <w:fldChar w:fldCharType="separate"/>
      </w:r>
      <w:r>
        <w:rPr>
          <w:rFonts w:hint="eastAsia" w:ascii="宋体" w:hAnsi="宋体"/>
          <w:b/>
          <w:bCs/>
          <w:szCs w:val="32"/>
          <w:highlight w:val="none"/>
        </w:rPr>
        <w:t>第四章 评审方法和标准</w:t>
      </w:r>
      <w:r>
        <w:rPr>
          <w:b/>
          <w:bCs/>
          <w:highlight w:val="none"/>
        </w:rPr>
        <w:tab/>
      </w:r>
      <w:r>
        <w:rPr>
          <w:b/>
          <w:bCs/>
          <w:highlight w:val="none"/>
        </w:rPr>
        <w:fldChar w:fldCharType="begin"/>
      </w:r>
      <w:r>
        <w:rPr>
          <w:b/>
          <w:bCs/>
          <w:highlight w:val="none"/>
        </w:rPr>
        <w:instrText xml:space="preserve"> PAGEREF _Toc24605 \h </w:instrText>
      </w:r>
      <w:r>
        <w:rPr>
          <w:b/>
          <w:bCs/>
          <w:highlight w:val="none"/>
        </w:rPr>
        <w:fldChar w:fldCharType="separate"/>
      </w:r>
      <w:r>
        <w:rPr>
          <w:b/>
          <w:bCs/>
          <w:highlight w:val="none"/>
        </w:rPr>
        <w:t>20</w:t>
      </w:r>
      <w:r>
        <w:rPr>
          <w:b/>
          <w:bCs/>
          <w:highlight w:val="none"/>
        </w:rPr>
        <w:fldChar w:fldCharType="end"/>
      </w:r>
      <w:r>
        <w:rPr>
          <w:b/>
          <w:bCs/>
          <w:highlight w:val="none"/>
        </w:rPr>
        <w:fldChar w:fldCharType="end"/>
      </w:r>
    </w:p>
    <w:p w14:paraId="17EA921B">
      <w:pPr>
        <w:pStyle w:val="13"/>
        <w:tabs>
          <w:tab w:val="right" w:leader="dot" w:pos="8890"/>
        </w:tabs>
        <w:spacing w:line="480" w:lineRule="auto"/>
        <w:rPr>
          <w:b/>
          <w:bCs/>
          <w:highlight w:val="none"/>
        </w:rPr>
      </w:pPr>
      <w:r>
        <w:rPr>
          <w:b/>
          <w:bCs/>
          <w:highlight w:val="none"/>
        </w:rPr>
        <w:fldChar w:fldCharType="begin"/>
      </w:r>
      <w:r>
        <w:rPr>
          <w:b/>
          <w:bCs/>
          <w:highlight w:val="none"/>
        </w:rPr>
        <w:instrText xml:space="preserve"> HYPERLINK \l _Toc30352 </w:instrText>
      </w:r>
      <w:r>
        <w:rPr>
          <w:b/>
          <w:bCs/>
          <w:highlight w:val="none"/>
        </w:rPr>
        <w:fldChar w:fldCharType="separate"/>
      </w:r>
      <w:r>
        <w:rPr>
          <w:rFonts w:hint="eastAsia" w:ascii="宋体" w:hAnsi="宋体"/>
          <w:b/>
          <w:bCs/>
          <w:szCs w:val="32"/>
          <w:highlight w:val="none"/>
        </w:rPr>
        <w:t>第五章 采购合同</w:t>
      </w:r>
      <w:r>
        <w:rPr>
          <w:b/>
          <w:bCs/>
          <w:highlight w:val="none"/>
        </w:rPr>
        <w:tab/>
      </w:r>
      <w:r>
        <w:rPr>
          <w:b/>
          <w:bCs/>
          <w:highlight w:val="none"/>
        </w:rPr>
        <w:fldChar w:fldCharType="begin"/>
      </w:r>
      <w:r>
        <w:rPr>
          <w:b/>
          <w:bCs/>
          <w:highlight w:val="none"/>
        </w:rPr>
        <w:instrText xml:space="preserve"> PAGEREF _Toc30352 \h </w:instrText>
      </w:r>
      <w:r>
        <w:rPr>
          <w:b/>
          <w:bCs/>
          <w:highlight w:val="none"/>
        </w:rPr>
        <w:fldChar w:fldCharType="separate"/>
      </w:r>
      <w:r>
        <w:rPr>
          <w:b/>
          <w:bCs/>
          <w:highlight w:val="none"/>
        </w:rPr>
        <w:t>2</w:t>
      </w:r>
      <w:r>
        <w:rPr>
          <w:rFonts w:hint="eastAsia"/>
          <w:b/>
          <w:bCs/>
          <w:highlight w:val="none"/>
          <w:lang w:val="en-US" w:eastAsia="zh-CN"/>
        </w:rPr>
        <w:t>5</w:t>
      </w:r>
      <w:r>
        <w:rPr>
          <w:b/>
          <w:bCs/>
          <w:highlight w:val="none"/>
        </w:rPr>
        <w:fldChar w:fldCharType="end"/>
      </w:r>
      <w:r>
        <w:rPr>
          <w:b/>
          <w:bCs/>
          <w:highlight w:val="none"/>
        </w:rPr>
        <w:fldChar w:fldCharType="end"/>
      </w:r>
    </w:p>
    <w:p w14:paraId="6F3EB849">
      <w:pPr>
        <w:pStyle w:val="13"/>
        <w:tabs>
          <w:tab w:val="right" w:leader="dot" w:pos="8890"/>
        </w:tabs>
        <w:spacing w:line="480" w:lineRule="auto"/>
        <w:rPr>
          <w:highlight w:val="none"/>
        </w:rPr>
      </w:pPr>
      <w:r>
        <w:rPr>
          <w:b/>
          <w:bCs/>
          <w:highlight w:val="none"/>
        </w:rPr>
        <w:fldChar w:fldCharType="begin"/>
      </w:r>
      <w:r>
        <w:rPr>
          <w:b/>
          <w:bCs/>
          <w:highlight w:val="none"/>
        </w:rPr>
        <w:instrText xml:space="preserve"> HYPERLINK \l _Toc19729 </w:instrText>
      </w:r>
      <w:r>
        <w:rPr>
          <w:b/>
          <w:bCs/>
          <w:highlight w:val="none"/>
        </w:rPr>
        <w:fldChar w:fldCharType="separate"/>
      </w:r>
      <w:r>
        <w:rPr>
          <w:rFonts w:hint="eastAsia" w:ascii="宋体" w:hAnsi="宋体"/>
          <w:b/>
          <w:bCs/>
          <w:szCs w:val="32"/>
          <w:highlight w:val="none"/>
        </w:rPr>
        <w:t>第六章 响应文件格式</w:t>
      </w:r>
      <w:r>
        <w:rPr>
          <w:b/>
          <w:bCs/>
          <w:highlight w:val="none"/>
        </w:rPr>
        <w:tab/>
      </w:r>
      <w:r>
        <w:rPr>
          <w:b/>
          <w:bCs/>
          <w:highlight w:val="none"/>
        </w:rPr>
        <w:fldChar w:fldCharType="begin"/>
      </w:r>
      <w:r>
        <w:rPr>
          <w:b/>
          <w:bCs/>
          <w:highlight w:val="none"/>
        </w:rPr>
        <w:instrText xml:space="preserve"> PAGEREF _Toc19729 \h </w:instrText>
      </w:r>
      <w:r>
        <w:rPr>
          <w:b/>
          <w:bCs/>
          <w:highlight w:val="none"/>
        </w:rPr>
        <w:fldChar w:fldCharType="separate"/>
      </w:r>
      <w:r>
        <w:rPr>
          <w:b/>
          <w:bCs/>
          <w:highlight w:val="none"/>
        </w:rPr>
        <w:t>3</w:t>
      </w:r>
      <w:r>
        <w:rPr>
          <w:rFonts w:hint="eastAsia"/>
          <w:b/>
          <w:bCs/>
          <w:highlight w:val="none"/>
          <w:lang w:val="en-US" w:eastAsia="zh-CN"/>
        </w:rPr>
        <w:t>4</w:t>
      </w:r>
      <w:r>
        <w:rPr>
          <w:b/>
          <w:bCs/>
          <w:highlight w:val="none"/>
        </w:rPr>
        <w:fldChar w:fldCharType="end"/>
      </w:r>
      <w:r>
        <w:rPr>
          <w:b/>
          <w:bCs/>
          <w:highlight w:val="none"/>
        </w:rPr>
        <w:fldChar w:fldCharType="end"/>
      </w:r>
    </w:p>
    <w:p w14:paraId="7BB7799D">
      <w:pPr>
        <w:spacing w:line="480" w:lineRule="auto"/>
        <w:rPr>
          <w:b/>
          <w:bCs/>
          <w:highlight w:val="none"/>
        </w:rPr>
      </w:pPr>
      <w:r>
        <w:rPr>
          <w:bCs/>
          <w:highlight w:val="none"/>
        </w:rPr>
        <w:fldChar w:fldCharType="end"/>
      </w:r>
    </w:p>
    <w:p w14:paraId="56C18074">
      <w:pPr>
        <w:widowControl/>
        <w:jc w:val="left"/>
        <w:rPr>
          <w:rFonts w:ascii="宋体" w:hAnsi="宋体"/>
          <w:highlight w:val="none"/>
        </w:rPr>
        <w:sectPr>
          <w:pgSz w:w="11910" w:h="16840"/>
          <w:pgMar w:top="1380" w:right="1440" w:bottom="1500" w:left="1580" w:header="877" w:footer="1304" w:gutter="0"/>
          <w:cols w:space="720" w:num="1"/>
        </w:sectPr>
      </w:pPr>
    </w:p>
    <w:p w14:paraId="02C90D9D">
      <w:pPr>
        <w:pStyle w:val="2"/>
        <w:rPr>
          <w:highlight w:val="none"/>
        </w:rPr>
      </w:pPr>
    </w:p>
    <w:p w14:paraId="2FD1ECDA">
      <w:pPr>
        <w:pStyle w:val="3"/>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0" w:name="_Toc24676"/>
      <w:bookmarkStart w:id="1" w:name="OLE_LINK1"/>
      <w:r>
        <w:rPr>
          <w:rFonts w:hint="eastAsia" w:ascii="宋体" w:hAnsi="宋体"/>
          <w:sz w:val="32"/>
          <w:szCs w:val="32"/>
          <w:highlight w:val="none"/>
        </w:rPr>
        <w:t>竞争性磋商公告</w:t>
      </w:r>
      <w:bookmarkEnd w:id="0"/>
    </w:p>
    <w:bookmarkEnd w:id="1"/>
    <w:p w14:paraId="58375FC0">
      <w:pPr>
        <w:pStyle w:val="4"/>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2" w:name="_Toc3037"/>
      <w:bookmarkStart w:id="3" w:name="_Toc7080"/>
      <w:bookmarkStart w:id="4" w:name="_Toc23481"/>
      <w:bookmarkStart w:id="5" w:name="_Toc3172"/>
      <w:bookmarkStart w:id="6" w:name="_Toc35393798"/>
      <w:bookmarkStart w:id="7" w:name="_Toc35393629"/>
      <w:bookmarkStart w:id="8" w:name="_Toc28359012"/>
      <w:bookmarkStart w:id="9" w:name="_Toc28359089"/>
      <w:r>
        <w:rPr>
          <w:rFonts w:hint="eastAsia" w:ascii="宋体" w:hAnsi="宋体" w:eastAsia="宋体"/>
          <w:b/>
          <w:i w:val="0"/>
          <w:kern w:val="2"/>
          <w:sz w:val="21"/>
          <w:szCs w:val="21"/>
          <w:highlight w:val="none"/>
          <w:lang w:val="en-US" w:bidi="ar-SA"/>
        </w:rPr>
        <w:t>项目概况</w:t>
      </w:r>
      <w:bookmarkEnd w:id="2"/>
    </w:p>
    <w:p w14:paraId="49520B52">
      <w:pPr>
        <w:spacing w:line="360" w:lineRule="auto"/>
        <w:ind w:firstLine="420" w:firstLineChars="200"/>
        <w:jc w:val="left"/>
        <w:rPr>
          <w:rFonts w:hint="eastAsia" w:ascii="宋体" w:hAnsi="宋体" w:eastAsia="宋体"/>
          <w:b/>
          <w:i w:val="0"/>
          <w:kern w:val="2"/>
          <w:sz w:val="21"/>
          <w:szCs w:val="21"/>
          <w:highlight w:val="none"/>
          <w:lang w:val="en-US" w:bidi="ar-SA"/>
        </w:rPr>
      </w:pPr>
      <w:r>
        <w:rPr>
          <w:rFonts w:hint="eastAsia" w:ascii="宋体" w:hAnsi="宋体" w:cs="Times New Roman"/>
          <w:b w:val="0"/>
          <w:bCs w:val="0"/>
          <w:kern w:val="2"/>
          <w:sz w:val="21"/>
          <w:szCs w:val="21"/>
          <w:highlight w:val="none"/>
          <w:lang w:val="en-US" w:eastAsia="zh-CN" w:bidi="ar-SA"/>
        </w:rPr>
        <w:t>安徽融城高新技术产业发展集团有限公司2026年人力资源管理咨询项目</w:t>
      </w:r>
      <w:r>
        <w:rPr>
          <w:rFonts w:hint="eastAsia" w:ascii="宋体" w:hAnsi="宋体" w:eastAsia="宋体" w:cs="Times New Roman"/>
          <w:b w:val="0"/>
          <w:bCs w:val="0"/>
          <w:kern w:val="2"/>
          <w:sz w:val="21"/>
          <w:szCs w:val="21"/>
          <w:highlight w:val="none"/>
          <w:lang w:val="en-US" w:eastAsia="zh-CN" w:bidi="ar-SA"/>
        </w:rPr>
        <w:t>的潜在供应商应在《</w:t>
      </w:r>
      <w:r>
        <w:rPr>
          <w:rFonts w:hint="eastAsia" w:ascii="宋体" w:hAnsi="宋体" w:cs="Times New Roman"/>
          <w:b w:val="0"/>
          <w:bCs w:val="0"/>
          <w:kern w:val="2"/>
          <w:sz w:val="21"/>
          <w:szCs w:val="21"/>
          <w:highlight w:val="none"/>
          <w:lang w:val="en-US" w:eastAsia="zh-CN" w:bidi="ar-SA"/>
        </w:rPr>
        <w:t>安徽融城高新技术产业发展集团有限公司</w:t>
      </w:r>
      <w:r>
        <w:rPr>
          <w:rFonts w:hint="eastAsia" w:ascii="宋体" w:hAnsi="宋体" w:eastAsia="宋体" w:cs="Times New Roman"/>
          <w:b w:val="0"/>
          <w:bCs w:val="0"/>
          <w:kern w:val="2"/>
          <w:sz w:val="21"/>
          <w:szCs w:val="21"/>
          <w:highlight w:val="none"/>
          <w:lang w:val="en-US" w:eastAsia="zh-CN" w:bidi="ar-SA"/>
        </w:rPr>
        <w:t>》网站获取竞争性磋商文件，并于</w:t>
      </w:r>
      <w:r>
        <w:rPr>
          <w:rFonts w:hint="eastAsia" w:ascii="宋体" w:hAnsi="宋体" w:cs="Times New Roman"/>
          <w:b w:val="0"/>
          <w:bCs w:val="0"/>
          <w:kern w:val="2"/>
          <w:sz w:val="21"/>
          <w:szCs w:val="21"/>
          <w:highlight w:val="none"/>
          <w:lang w:val="en-US" w:eastAsia="zh-CN" w:bidi="ar-SA"/>
        </w:rPr>
        <w:t>2026年5月9日15点00分</w:t>
      </w:r>
      <w:r>
        <w:rPr>
          <w:rFonts w:hint="eastAsia" w:ascii="宋体" w:hAnsi="宋体" w:eastAsia="宋体" w:cs="Times New Roman"/>
          <w:b w:val="0"/>
          <w:bCs w:val="0"/>
          <w:kern w:val="2"/>
          <w:sz w:val="21"/>
          <w:szCs w:val="21"/>
          <w:highlight w:val="none"/>
          <w:lang w:val="en-US" w:eastAsia="zh-CN" w:bidi="ar-SA"/>
        </w:rPr>
        <w:t>（北京时间）前</w:t>
      </w:r>
      <w:r>
        <w:rPr>
          <w:rFonts w:hint="eastAsia" w:ascii="宋体" w:hAnsi="宋体" w:cs="Times New Roman"/>
          <w:b w:val="0"/>
          <w:bCs w:val="0"/>
          <w:kern w:val="2"/>
          <w:sz w:val="21"/>
          <w:szCs w:val="21"/>
          <w:highlight w:val="none"/>
          <w:lang w:val="en-US" w:eastAsia="zh-CN" w:bidi="ar-SA"/>
        </w:rPr>
        <w:t>递交</w:t>
      </w:r>
      <w:r>
        <w:rPr>
          <w:rFonts w:hint="eastAsia" w:ascii="宋体" w:hAnsi="宋体" w:eastAsia="宋体" w:cs="Times New Roman"/>
          <w:b w:val="0"/>
          <w:bCs w:val="0"/>
          <w:kern w:val="2"/>
          <w:sz w:val="21"/>
          <w:szCs w:val="21"/>
          <w:highlight w:val="none"/>
          <w:lang w:val="en-US" w:eastAsia="zh-CN" w:bidi="ar-SA"/>
        </w:rPr>
        <w:t>响应文件。</w:t>
      </w:r>
    </w:p>
    <w:p w14:paraId="795F2D4D">
      <w:pPr>
        <w:pStyle w:val="4"/>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10" w:name="_Toc3593"/>
      <w:r>
        <w:rPr>
          <w:rFonts w:hint="eastAsia" w:ascii="宋体" w:hAnsi="宋体" w:eastAsia="宋体"/>
          <w:b/>
          <w:i w:val="0"/>
          <w:kern w:val="2"/>
          <w:sz w:val="21"/>
          <w:szCs w:val="21"/>
          <w:highlight w:val="none"/>
          <w:lang w:val="en-US" w:bidi="ar-SA"/>
        </w:rPr>
        <w:t>一、项目基本情况</w:t>
      </w:r>
      <w:bookmarkEnd w:id="3"/>
      <w:bookmarkEnd w:id="4"/>
      <w:bookmarkEnd w:id="5"/>
      <w:bookmarkEnd w:id="6"/>
      <w:bookmarkEnd w:id="7"/>
      <w:bookmarkEnd w:id="8"/>
      <w:bookmarkEnd w:id="9"/>
      <w:bookmarkEnd w:id="10"/>
    </w:p>
    <w:p w14:paraId="62CE419A">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项目名称：</w:t>
      </w:r>
      <w:r>
        <w:rPr>
          <w:rFonts w:hint="eastAsia" w:ascii="宋体" w:hAnsi="宋体" w:cs="Times New Roman"/>
          <w:sz w:val="21"/>
          <w:szCs w:val="21"/>
          <w:highlight w:val="none"/>
          <w:lang w:val="en-US" w:eastAsia="zh-CN"/>
        </w:rPr>
        <w:t>安徽融城高新技术产业发展集团有限公司2026年人力资源管理咨询项目</w:t>
      </w:r>
    </w:p>
    <w:p w14:paraId="01650D99">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项目编号：</w:t>
      </w:r>
      <w:r>
        <w:rPr>
          <w:rFonts w:hint="eastAsia" w:ascii="宋体" w:hAnsi="宋体" w:cs="Times New Roman"/>
          <w:sz w:val="21"/>
          <w:szCs w:val="21"/>
          <w:highlight w:val="none"/>
          <w:lang w:val="en-US" w:eastAsia="zh-CN"/>
        </w:rPr>
        <w:t xml:space="preserve">ZZY-20260020 </w:t>
      </w:r>
    </w:p>
    <w:p w14:paraId="75378C1D">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采购方式：竞争性磋商</w:t>
      </w:r>
    </w:p>
    <w:p w14:paraId="4BFB660F">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预算金额：</w:t>
      </w:r>
      <w:r>
        <w:rPr>
          <w:rFonts w:hint="eastAsia" w:ascii="宋体" w:hAnsi="宋体" w:cs="Times New Roman"/>
          <w:sz w:val="21"/>
          <w:szCs w:val="21"/>
          <w:highlight w:val="none"/>
          <w:lang w:val="en-US" w:eastAsia="zh-CN"/>
        </w:rPr>
        <w:t>约13.5</w:t>
      </w:r>
      <w:r>
        <w:rPr>
          <w:rFonts w:hint="eastAsia" w:ascii="宋体" w:hAnsi="宋体" w:eastAsia="宋体" w:cs="Times New Roman"/>
          <w:sz w:val="21"/>
          <w:szCs w:val="21"/>
          <w:highlight w:val="none"/>
          <w:lang w:val="en-US" w:eastAsia="zh-CN"/>
        </w:rPr>
        <w:t>万元</w:t>
      </w:r>
    </w:p>
    <w:p w14:paraId="0BE3157A">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最高投标限价：</w:t>
      </w:r>
      <w:r>
        <w:rPr>
          <w:rFonts w:hint="eastAsia" w:ascii="宋体" w:hAnsi="宋体" w:cs="Times New Roman"/>
          <w:sz w:val="21"/>
          <w:szCs w:val="21"/>
          <w:highlight w:val="none"/>
          <w:lang w:val="en-US" w:eastAsia="zh-CN"/>
        </w:rPr>
        <w:t>13.5万元</w:t>
      </w:r>
    </w:p>
    <w:p w14:paraId="13A65352">
      <w:pPr>
        <w:spacing w:line="360" w:lineRule="auto"/>
        <w:ind w:firstLine="420" w:firstLineChars="200"/>
        <w:jc w:val="left"/>
        <w:rPr>
          <w:rFonts w:hint="default" w:ascii="宋体" w:hAnsi="宋体" w:eastAsia="宋体" w:cs="Times New Roman"/>
          <w:sz w:val="21"/>
          <w:szCs w:val="21"/>
          <w:highlight w:val="none"/>
          <w:lang w:val="en-US" w:eastAsia="zh-CN"/>
        </w:rPr>
      </w:pPr>
      <w:r>
        <w:rPr>
          <w:rFonts w:hint="eastAsia" w:ascii="宋体" w:hAnsi="宋体" w:cs="Times New Roman"/>
          <w:sz w:val="21"/>
          <w:szCs w:val="21"/>
          <w:highlight w:val="none"/>
          <w:lang w:val="en-US" w:eastAsia="zh-CN"/>
        </w:rPr>
        <w:t>服务期限</w:t>
      </w:r>
      <w:r>
        <w:rPr>
          <w:rFonts w:hint="eastAsia" w:ascii="宋体" w:hAnsi="宋体" w:eastAsia="宋体" w:cs="Times New Roman"/>
          <w:sz w:val="21"/>
          <w:szCs w:val="21"/>
          <w:highlight w:val="none"/>
          <w:lang w:val="en-US" w:eastAsia="zh-CN"/>
        </w:rPr>
        <w:t>：</w:t>
      </w:r>
      <w:r>
        <w:rPr>
          <w:rFonts w:hint="eastAsia" w:ascii="宋体" w:hAnsi="宋体" w:cs="Times New Roman"/>
          <w:sz w:val="21"/>
          <w:szCs w:val="21"/>
          <w:highlight w:val="none"/>
          <w:lang w:val="en-US" w:eastAsia="zh-CN"/>
        </w:rPr>
        <w:t>合同签订后三个月内完成全部人力资源咨询工作，出具认可的报告、制度及方案</w:t>
      </w:r>
      <w:r>
        <w:rPr>
          <w:rFonts w:hint="eastAsia" w:ascii="宋体" w:hAnsi="宋体" w:eastAsia="宋体" w:cs="Times New Roman"/>
          <w:sz w:val="21"/>
          <w:szCs w:val="21"/>
          <w:highlight w:val="none"/>
          <w:lang w:val="en-US" w:eastAsia="zh-CN"/>
        </w:rPr>
        <w:t xml:space="preserve"> </w:t>
      </w:r>
    </w:p>
    <w:p w14:paraId="61AB020B">
      <w:pPr>
        <w:spacing w:line="360" w:lineRule="auto"/>
        <w:ind w:firstLine="420" w:firstLineChars="200"/>
        <w:jc w:val="left"/>
        <w:rPr>
          <w:rFonts w:hint="eastAsia" w:ascii="宋体" w:hAnsi="宋体" w:eastAsia="宋体"/>
          <w:sz w:val="21"/>
          <w:szCs w:val="21"/>
          <w:highlight w:val="none"/>
        </w:rPr>
      </w:pPr>
      <w:r>
        <w:rPr>
          <w:rFonts w:hint="eastAsia" w:ascii="宋体" w:hAnsi="宋体" w:eastAsia="宋体"/>
          <w:sz w:val="21"/>
          <w:szCs w:val="21"/>
          <w:highlight w:val="none"/>
        </w:rPr>
        <w:t>采购</w:t>
      </w:r>
      <w:r>
        <w:rPr>
          <w:rFonts w:hint="eastAsia" w:ascii="宋体" w:hAnsi="宋体" w:eastAsia="宋体"/>
          <w:sz w:val="21"/>
          <w:szCs w:val="21"/>
          <w:highlight w:val="none"/>
          <w:lang w:val="en-US" w:eastAsia="zh-CN"/>
        </w:rPr>
        <w:t>范围</w:t>
      </w:r>
      <w:r>
        <w:rPr>
          <w:rFonts w:hint="eastAsia" w:ascii="宋体" w:hAnsi="宋体" w:eastAsia="宋体"/>
          <w:sz w:val="21"/>
          <w:szCs w:val="21"/>
          <w:highlight w:val="none"/>
        </w:rPr>
        <w:t>：</w:t>
      </w:r>
      <w:r>
        <w:rPr>
          <w:rFonts w:hint="eastAsia" w:ascii="宋体" w:hAnsi="宋体" w:eastAsia="宋体"/>
          <w:sz w:val="21"/>
          <w:szCs w:val="21"/>
          <w:highlight w:val="none"/>
          <w:lang w:eastAsia="zh-CN"/>
        </w:rPr>
        <w:t>为安徽融城高新技术产业发展集团有限公司提供人力资源管理咨询服务</w:t>
      </w:r>
      <w:r>
        <w:rPr>
          <w:rFonts w:hint="eastAsia" w:ascii="宋体" w:hAnsi="宋体"/>
          <w:sz w:val="21"/>
          <w:szCs w:val="21"/>
          <w:highlight w:val="none"/>
          <w:lang w:eastAsia="zh-CN"/>
        </w:rPr>
        <w:t>，</w:t>
      </w:r>
      <w:r>
        <w:rPr>
          <w:rFonts w:hint="eastAsia" w:ascii="宋体" w:hAnsi="宋体"/>
          <w:sz w:val="21"/>
          <w:szCs w:val="21"/>
          <w:highlight w:val="none"/>
          <w:lang w:val="en-US" w:eastAsia="zh-CN"/>
        </w:rPr>
        <w:t>具体详见采购需求</w:t>
      </w:r>
      <w:r>
        <w:rPr>
          <w:rFonts w:hint="eastAsia" w:ascii="宋体" w:hAnsi="宋体" w:eastAsia="宋体"/>
          <w:sz w:val="21"/>
          <w:szCs w:val="21"/>
          <w:highlight w:val="none"/>
          <w:lang w:eastAsia="zh-CN"/>
        </w:rPr>
        <w:t>。</w:t>
      </w:r>
    </w:p>
    <w:p w14:paraId="0EA63F5C">
      <w:pPr>
        <w:spacing w:line="360" w:lineRule="auto"/>
        <w:ind w:firstLine="420" w:firstLineChars="200"/>
        <w:jc w:val="left"/>
        <w:rPr>
          <w:rFonts w:hint="eastAsia" w:ascii="Times New Roman" w:hAnsi="Times New Roman" w:eastAsia="宋体" w:cs="Times New Roman"/>
          <w:sz w:val="21"/>
          <w:szCs w:val="21"/>
          <w:lang w:val="en-US" w:eastAsia="zh-CN"/>
        </w:rPr>
      </w:pPr>
      <w:r>
        <w:rPr>
          <w:rFonts w:hint="eastAsia" w:ascii="宋体" w:hAnsi="宋体" w:eastAsia="宋体" w:cs="Times New Roman"/>
          <w:sz w:val="21"/>
          <w:szCs w:val="21"/>
          <w:highlight w:val="none"/>
          <w:lang w:val="en-US" w:eastAsia="zh-CN"/>
        </w:rPr>
        <w:t>质量</w:t>
      </w:r>
      <w:r>
        <w:rPr>
          <w:rFonts w:hint="eastAsia" w:ascii="宋体" w:hAnsi="宋体" w:cs="Times New Roman"/>
          <w:sz w:val="21"/>
          <w:szCs w:val="21"/>
          <w:highlight w:val="none"/>
          <w:lang w:val="en-US" w:eastAsia="zh-CN"/>
        </w:rPr>
        <w:t>要求</w:t>
      </w:r>
      <w:r>
        <w:rPr>
          <w:rFonts w:hint="eastAsia" w:ascii="宋体" w:hAnsi="宋体" w:eastAsia="宋体" w:cs="Times New Roman"/>
          <w:sz w:val="21"/>
          <w:szCs w:val="21"/>
          <w:highlight w:val="none"/>
          <w:lang w:val="en-US" w:eastAsia="zh-CN"/>
        </w:rPr>
        <w:t>：</w:t>
      </w:r>
      <w:r>
        <w:rPr>
          <w:rFonts w:hint="eastAsia" w:ascii="Times New Roman" w:hAnsi="Times New Roman" w:cs="Times New Roman"/>
          <w:sz w:val="21"/>
          <w:szCs w:val="21"/>
          <w:lang w:val="en-US"/>
        </w:rPr>
        <w:t>满足招标人使用要求，成果性文件完成后，承诺保障跟踪服务三个月</w:t>
      </w:r>
      <w:r>
        <w:rPr>
          <w:rFonts w:hint="eastAsia" w:cs="Times New Roman"/>
          <w:sz w:val="21"/>
          <w:szCs w:val="21"/>
          <w:lang w:val="en-US" w:eastAsia="zh-CN"/>
        </w:rPr>
        <w:t>。</w:t>
      </w:r>
    </w:p>
    <w:p w14:paraId="5B71F741">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本项目</w:t>
      </w:r>
      <w:r>
        <w:rPr>
          <w:rFonts w:hint="eastAsia" w:ascii="宋体" w:hAnsi="宋体" w:eastAsia="宋体" w:cs="Times New Roman"/>
          <w:sz w:val="21"/>
          <w:szCs w:val="21"/>
          <w:highlight w:val="none"/>
          <w:lang w:val="en-US" w:eastAsia="zh-CN"/>
        </w:rPr>
        <w:t>不接</w:t>
      </w:r>
      <w:r>
        <w:rPr>
          <w:rFonts w:hint="eastAsia" w:ascii="宋体" w:hAnsi="宋体" w:eastAsia="宋体" w:cs="Times New Roman"/>
          <w:sz w:val="21"/>
          <w:szCs w:val="21"/>
          <w:highlight w:val="none"/>
        </w:rPr>
        <w:t>受联合体。</w:t>
      </w:r>
    </w:p>
    <w:p w14:paraId="093D77E1">
      <w:pPr>
        <w:pStyle w:val="4"/>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11" w:name="_Toc3808"/>
      <w:bookmarkStart w:id="12" w:name="_Toc35393630"/>
      <w:bookmarkStart w:id="13" w:name="_Toc28359013"/>
      <w:bookmarkStart w:id="14" w:name="_Toc27951"/>
      <w:bookmarkStart w:id="15" w:name="_Toc35393799"/>
      <w:bookmarkStart w:id="16" w:name="_Toc20475"/>
      <w:bookmarkStart w:id="17" w:name="_Toc12596"/>
      <w:bookmarkStart w:id="18" w:name="_Toc28359090"/>
      <w:r>
        <w:rPr>
          <w:rFonts w:hint="eastAsia" w:ascii="宋体" w:hAnsi="宋体" w:eastAsia="宋体"/>
          <w:b/>
          <w:i w:val="0"/>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235085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highlight w:val="none"/>
        </w:rPr>
      </w:pPr>
      <w:bookmarkStart w:id="19" w:name="_Toc28359014"/>
      <w:bookmarkStart w:id="20" w:name="_Toc35393631"/>
      <w:bookmarkStart w:id="21" w:name="_Toc28359091"/>
      <w:bookmarkStart w:id="22" w:name="_Toc35393800"/>
      <w:r>
        <w:rPr>
          <w:rFonts w:hint="eastAsia" w:ascii="宋体" w:hAnsi="宋体" w:cs="宋体"/>
          <w:highlight w:val="none"/>
        </w:rPr>
        <w:t>1、满足《中华人民共和国政府采购法》第二十二条规定；</w:t>
      </w:r>
    </w:p>
    <w:p w14:paraId="0D38F9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2、具有独立法人资格，具有与本项目相适应的服务范围和能力；</w:t>
      </w:r>
    </w:p>
    <w:p w14:paraId="56AA03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3、遵守国家法律法规，近5年来没有被有关部门明文规定市场禁入、在国家企业信用系统无不良记录；</w:t>
      </w:r>
    </w:p>
    <w:p w14:paraId="521B6EEF">
      <w:pPr>
        <w:pStyle w:val="4"/>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三、获取采购文件</w:t>
      </w:r>
      <w:bookmarkEnd w:id="19"/>
      <w:bookmarkEnd w:id="20"/>
      <w:bookmarkEnd w:id="21"/>
      <w:bookmarkEnd w:id="22"/>
    </w:p>
    <w:p w14:paraId="1770D846">
      <w:pPr>
        <w:widowControl/>
        <w:spacing w:line="360" w:lineRule="auto"/>
        <w:ind w:firstLine="420" w:firstLineChars="200"/>
        <w:rPr>
          <w:rFonts w:hint="eastAsia"/>
          <w:szCs w:val="21"/>
          <w:highlight w:val="none"/>
          <w:lang w:eastAsia="zh-CN"/>
        </w:rPr>
      </w:pPr>
      <w:bookmarkStart w:id="23" w:name="_Toc35393801"/>
      <w:bookmarkStart w:id="24" w:name="_Toc28359092"/>
      <w:bookmarkStart w:id="25" w:name="_Toc35393632"/>
      <w:bookmarkStart w:id="26" w:name="_Toc28359015"/>
      <w:r>
        <w:rPr>
          <w:rFonts w:hint="eastAsia"/>
          <w:szCs w:val="21"/>
          <w:highlight w:val="none"/>
          <w:lang w:eastAsia="zh-CN"/>
        </w:rPr>
        <w:t>1、自采购公告发布之日起，凡有意参加的供应商，可在《安徽融城高新技术产业发展集团有限公司》网</w:t>
      </w:r>
      <w:r>
        <w:rPr>
          <w:rFonts w:hint="eastAsia"/>
          <w:szCs w:val="21"/>
          <w:highlight w:val="none"/>
          <w:lang w:val="en-US" w:eastAsia="zh-CN"/>
        </w:rPr>
        <w:t>站</w:t>
      </w:r>
      <w:r>
        <w:rPr>
          <w:rFonts w:hint="eastAsia"/>
          <w:szCs w:val="21"/>
          <w:highlight w:val="none"/>
          <w:lang w:eastAsia="zh-CN"/>
        </w:rPr>
        <w:t>获取竞争性磋商文件。</w:t>
      </w:r>
    </w:p>
    <w:p w14:paraId="0E059EB6">
      <w:pPr>
        <w:pStyle w:val="4"/>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四、响应文件提交</w:t>
      </w:r>
      <w:bookmarkEnd w:id="23"/>
      <w:bookmarkEnd w:id="24"/>
      <w:bookmarkEnd w:id="25"/>
      <w:bookmarkEnd w:id="26"/>
    </w:p>
    <w:p w14:paraId="664711C7">
      <w:pPr>
        <w:spacing w:line="360" w:lineRule="auto"/>
        <w:ind w:firstLine="420" w:firstLineChars="200"/>
        <w:rPr>
          <w:rFonts w:hint="eastAsia" w:ascii="宋体" w:hAnsi="宋体" w:eastAsia="宋体"/>
          <w:sz w:val="21"/>
          <w:szCs w:val="21"/>
          <w:highlight w:val="none"/>
          <w:u w:val="single"/>
        </w:rPr>
      </w:pPr>
      <w:r>
        <w:rPr>
          <w:rFonts w:hint="eastAsia" w:ascii="宋体" w:hAnsi="宋体" w:eastAsia="宋体"/>
          <w:sz w:val="21"/>
          <w:szCs w:val="21"/>
          <w:highlight w:val="none"/>
        </w:rPr>
        <w:t>1、截止时间：</w:t>
      </w:r>
      <w:r>
        <w:rPr>
          <w:rFonts w:hint="eastAsia" w:ascii="宋体" w:hAnsi="宋体"/>
          <w:sz w:val="21"/>
          <w:szCs w:val="21"/>
          <w:highlight w:val="none"/>
          <w:u w:val="single"/>
          <w:lang w:eastAsia="zh-CN"/>
        </w:rPr>
        <w:t>202</w:t>
      </w:r>
      <w:r>
        <w:rPr>
          <w:rFonts w:hint="eastAsia" w:ascii="宋体" w:hAnsi="宋体"/>
          <w:sz w:val="21"/>
          <w:szCs w:val="21"/>
          <w:highlight w:val="none"/>
          <w:u w:val="single"/>
          <w:lang w:val="en-US" w:eastAsia="zh-CN"/>
        </w:rPr>
        <w:t>6</w:t>
      </w:r>
      <w:r>
        <w:rPr>
          <w:rFonts w:hint="eastAsia" w:ascii="宋体" w:hAnsi="宋体"/>
          <w:sz w:val="21"/>
          <w:szCs w:val="21"/>
          <w:highlight w:val="none"/>
          <w:u w:val="single"/>
          <w:lang w:eastAsia="zh-CN"/>
        </w:rPr>
        <w:t>年</w:t>
      </w:r>
      <w:r>
        <w:rPr>
          <w:rFonts w:hint="eastAsia" w:ascii="宋体" w:hAnsi="宋体"/>
          <w:sz w:val="21"/>
          <w:szCs w:val="21"/>
          <w:highlight w:val="none"/>
          <w:u w:val="single"/>
          <w:lang w:val="en-US" w:eastAsia="zh-CN"/>
        </w:rPr>
        <w:t>5</w:t>
      </w:r>
      <w:r>
        <w:rPr>
          <w:rFonts w:hint="eastAsia" w:ascii="宋体" w:hAnsi="宋体"/>
          <w:sz w:val="21"/>
          <w:szCs w:val="21"/>
          <w:highlight w:val="none"/>
          <w:u w:val="single"/>
          <w:lang w:eastAsia="zh-CN"/>
        </w:rPr>
        <w:t>月</w:t>
      </w:r>
      <w:r>
        <w:rPr>
          <w:rFonts w:hint="eastAsia" w:ascii="宋体" w:hAnsi="宋体"/>
          <w:sz w:val="21"/>
          <w:szCs w:val="21"/>
          <w:highlight w:val="none"/>
          <w:u w:val="single"/>
          <w:lang w:val="en-US" w:eastAsia="zh-CN"/>
        </w:rPr>
        <w:t>9</w:t>
      </w:r>
      <w:r>
        <w:rPr>
          <w:rFonts w:hint="eastAsia" w:ascii="宋体" w:hAnsi="宋体"/>
          <w:sz w:val="21"/>
          <w:szCs w:val="21"/>
          <w:highlight w:val="none"/>
          <w:u w:val="single"/>
          <w:lang w:eastAsia="zh-CN"/>
        </w:rPr>
        <w:t>日1</w:t>
      </w:r>
      <w:r>
        <w:rPr>
          <w:rFonts w:hint="eastAsia" w:ascii="宋体" w:hAnsi="宋体"/>
          <w:sz w:val="21"/>
          <w:szCs w:val="21"/>
          <w:highlight w:val="none"/>
          <w:u w:val="single"/>
          <w:lang w:val="en-US" w:eastAsia="zh-CN"/>
        </w:rPr>
        <w:t>5</w:t>
      </w:r>
      <w:r>
        <w:rPr>
          <w:rFonts w:hint="eastAsia" w:ascii="宋体" w:hAnsi="宋体"/>
          <w:sz w:val="21"/>
          <w:szCs w:val="21"/>
          <w:highlight w:val="none"/>
          <w:u w:val="single"/>
          <w:lang w:eastAsia="zh-CN"/>
        </w:rPr>
        <w:t>点</w:t>
      </w:r>
      <w:r>
        <w:rPr>
          <w:rFonts w:hint="eastAsia" w:ascii="宋体" w:hAnsi="宋体"/>
          <w:sz w:val="21"/>
          <w:szCs w:val="21"/>
          <w:highlight w:val="none"/>
          <w:u w:val="single"/>
          <w:lang w:val="en-US" w:eastAsia="zh-CN"/>
        </w:rPr>
        <w:t>0</w:t>
      </w:r>
      <w:r>
        <w:rPr>
          <w:rFonts w:hint="eastAsia" w:ascii="宋体" w:hAnsi="宋体"/>
          <w:sz w:val="21"/>
          <w:szCs w:val="21"/>
          <w:highlight w:val="none"/>
          <w:u w:val="single"/>
          <w:lang w:eastAsia="zh-CN"/>
        </w:rPr>
        <w:t>0分</w:t>
      </w:r>
      <w:r>
        <w:rPr>
          <w:rFonts w:hint="eastAsia" w:ascii="宋体" w:hAnsi="宋体" w:eastAsia="宋体"/>
          <w:sz w:val="21"/>
          <w:szCs w:val="21"/>
          <w:highlight w:val="none"/>
          <w:u w:val="single"/>
        </w:rPr>
        <w:t>（北京时间），迟于截止时间递交的响应文件，将不予接收。</w:t>
      </w:r>
    </w:p>
    <w:p w14:paraId="0B309505">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2、地点</w:t>
      </w:r>
      <w:r>
        <w:rPr>
          <w:rFonts w:hint="eastAsia" w:ascii="宋体" w:hAnsi="宋体" w:eastAsia="宋体"/>
          <w:sz w:val="21"/>
          <w:szCs w:val="21"/>
          <w:highlight w:val="none"/>
          <w:lang w:eastAsia="zh-CN"/>
        </w:rPr>
        <w:t>：</w:t>
      </w:r>
      <w:r>
        <w:rPr>
          <w:rFonts w:hint="eastAsia" w:ascii="宋体" w:hAnsi="宋体"/>
          <w:sz w:val="21"/>
          <w:szCs w:val="21"/>
          <w:highlight w:val="none"/>
          <w:u w:val="single"/>
          <w:lang w:eastAsia="zh-CN"/>
        </w:rPr>
        <w:t>界首市东城开发区创业广场6号楼（企业孵化器）301室</w:t>
      </w:r>
    </w:p>
    <w:p w14:paraId="44CFAF15">
      <w:pPr>
        <w:pStyle w:val="4"/>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27" w:name="_Toc6958"/>
      <w:bookmarkStart w:id="28" w:name="_Toc27315"/>
      <w:bookmarkStart w:id="29" w:name="_Toc28359016"/>
      <w:bookmarkStart w:id="30" w:name="_Toc19480"/>
      <w:bookmarkStart w:id="31" w:name="_Toc35393802"/>
      <w:bookmarkStart w:id="32" w:name="_Toc35393633"/>
      <w:bookmarkStart w:id="33" w:name="_Toc3942"/>
      <w:bookmarkStart w:id="34" w:name="_Toc28359093"/>
      <w:r>
        <w:rPr>
          <w:rFonts w:hint="eastAsia" w:ascii="宋体" w:hAnsi="宋体" w:eastAsia="宋体"/>
          <w:b/>
          <w:i w:val="0"/>
          <w:kern w:val="2"/>
          <w:sz w:val="21"/>
          <w:szCs w:val="21"/>
          <w:highlight w:val="none"/>
          <w:lang w:val="en-US" w:bidi="ar-SA"/>
        </w:rPr>
        <w:t>五、开启</w:t>
      </w:r>
      <w:bookmarkEnd w:id="27"/>
      <w:bookmarkEnd w:id="28"/>
      <w:bookmarkEnd w:id="29"/>
      <w:bookmarkEnd w:id="30"/>
      <w:bookmarkEnd w:id="31"/>
      <w:bookmarkEnd w:id="32"/>
      <w:bookmarkEnd w:id="33"/>
      <w:bookmarkEnd w:id="34"/>
    </w:p>
    <w:p w14:paraId="5EBF3639">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时间：</w:t>
      </w:r>
      <w:r>
        <w:rPr>
          <w:rFonts w:hint="eastAsia" w:ascii="宋体" w:hAnsi="宋体" w:eastAsia="宋体"/>
          <w:color w:val="000000"/>
          <w:sz w:val="21"/>
          <w:szCs w:val="21"/>
          <w:highlight w:val="none"/>
        </w:rPr>
        <w:t>同响应文件提交截止时间。</w:t>
      </w:r>
    </w:p>
    <w:p w14:paraId="2D3518C0">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地点：</w:t>
      </w:r>
      <w:r>
        <w:rPr>
          <w:rFonts w:hint="eastAsia" w:ascii="宋体" w:hAnsi="宋体" w:eastAsia="宋体"/>
          <w:color w:val="000000"/>
          <w:sz w:val="21"/>
          <w:szCs w:val="21"/>
          <w:highlight w:val="none"/>
        </w:rPr>
        <w:t>同响应文件提交地点。</w:t>
      </w:r>
    </w:p>
    <w:p w14:paraId="12929282">
      <w:pPr>
        <w:pStyle w:val="4"/>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35" w:name="_Toc35393803"/>
      <w:bookmarkStart w:id="36" w:name="_Toc28359017"/>
      <w:bookmarkStart w:id="37" w:name="_Toc19137"/>
      <w:bookmarkStart w:id="38" w:name="_Toc1837"/>
      <w:bookmarkStart w:id="39" w:name="_Toc35393634"/>
      <w:bookmarkStart w:id="40" w:name="_Toc28359094"/>
      <w:bookmarkStart w:id="41" w:name="_Toc7568"/>
      <w:bookmarkStart w:id="42" w:name="_Toc9971"/>
      <w:r>
        <w:rPr>
          <w:rFonts w:hint="eastAsia" w:ascii="宋体" w:hAnsi="宋体" w:eastAsia="宋体"/>
          <w:b/>
          <w:i w:val="0"/>
          <w:kern w:val="2"/>
          <w:sz w:val="21"/>
          <w:szCs w:val="21"/>
          <w:highlight w:val="none"/>
          <w:lang w:val="en-US" w:bidi="ar-SA"/>
        </w:rPr>
        <w:t>六、公告期限</w:t>
      </w:r>
      <w:bookmarkEnd w:id="35"/>
      <w:bookmarkEnd w:id="36"/>
      <w:bookmarkEnd w:id="37"/>
      <w:bookmarkEnd w:id="38"/>
      <w:bookmarkEnd w:id="39"/>
      <w:bookmarkEnd w:id="40"/>
      <w:bookmarkEnd w:id="41"/>
      <w:bookmarkEnd w:id="42"/>
    </w:p>
    <w:p w14:paraId="14481A92">
      <w:pPr>
        <w:spacing w:line="360" w:lineRule="auto"/>
        <w:ind w:firstLine="420" w:firstLineChars="200"/>
        <w:rPr>
          <w:rFonts w:ascii="宋体" w:hAnsi="宋体" w:eastAsia="宋体"/>
          <w:sz w:val="21"/>
          <w:szCs w:val="21"/>
          <w:highlight w:val="none"/>
        </w:rPr>
      </w:pPr>
      <w:r>
        <w:rPr>
          <w:rFonts w:hint="eastAsia" w:ascii="宋体" w:hAnsi="宋体" w:eastAsia="宋体"/>
          <w:sz w:val="21"/>
          <w:szCs w:val="21"/>
          <w:highlight w:val="none"/>
        </w:rPr>
        <w:t>自本公告发布之日起</w:t>
      </w:r>
      <w:r>
        <w:rPr>
          <w:rFonts w:hint="eastAsia" w:ascii="宋体" w:hAnsi="宋体" w:eastAsia="宋体"/>
          <w:sz w:val="21"/>
          <w:szCs w:val="21"/>
          <w:highlight w:val="none"/>
          <w:lang w:val="en-US" w:eastAsia="zh-CN"/>
        </w:rPr>
        <w:t>3个</w:t>
      </w:r>
      <w:r>
        <w:rPr>
          <w:rFonts w:hint="eastAsia" w:ascii="宋体" w:hAnsi="宋体" w:eastAsia="宋体"/>
          <w:sz w:val="21"/>
          <w:szCs w:val="21"/>
          <w:highlight w:val="none"/>
        </w:rPr>
        <w:t>工作日。</w:t>
      </w:r>
    </w:p>
    <w:p w14:paraId="743A978B">
      <w:pPr>
        <w:pStyle w:val="4"/>
        <w:keepNext/>
        <w:keepLines/>
        <w:numPr>
          <w:ilvl w:val="0"/>
          <w:numId w:val="2"/>
        </w:numPr>
        <w:autoSpaceDE/>
        <w:autoSpaceDN/>
        <w:spacing w:before="260" w:after="260" w:line="360" w:lineRule="auto"/>
        <w:ind w:left="0" w:right="0"/>
        <w:jc w:val="both"/>
        <w:rPr>
          <w:rFonts w:hint="eastAsia" w:ascii="宋体" w:hAnsi="宋体" w:eastAsia="宋体"/>
          <w:sz w:val="21"/>
          <w:szCs w:val="21"/>
          <w:highlight w:val="none"/>
          <w:lang w:val="en-US" w:eastAsia="zh-CN"/>
        </w:rPr>
      </w:pPr>
      <w:bookmarkStart w:id="43" w:name="_Toc35393635"/>
      <w:bookmarkStart w:id="44" w:name="_Toc35393804"/>
      <w:bookmarkStart w:id="45" w:name="_Toc32077"/>
      <w:bookmarkStart w:id="46" w:name="_Toc21544"/>
      <w:bookmarkStart w:id="47" w:name="_Toc27340"/>
      <w:bookmarkStart w:id="48" w:name="_Toc6236"/>
      <w:r>
        <w:rPr>
          <w:rFonts w:hint="eastAsia" w:ascii="宋体" w:hAnsi="宋体" w:eastAsia="宋体"/>
          <w:b/>
          <w:i w:val="0"/>
          <w:kern w:val="2"/>
          <w:sz w:val="21"/>
          <w:szCs w:val="21"/>
          <w:highlight w:val="none"/>
          <w:lang w:val="en-US" w:bidi="ar-SA"/>
        </w:rPr>
        <w:t>其他补充事宜</w:t>
      </w:r>
      <w:bookmarkEnd w:id="43"/>
      <w:bookmarkEnd w:id="44"/>
      <w:r>
        <w:rPr>
          <w:rFonts w:hint="eastAsia" w:ascii="宋体" w:hAnsi="宋体" w:eastAsia="宋体"/>
          <w:b/>
          <w:i w:val="0"/>
          <w:kern w:val="2"/>
          <w:sz w:val="21"/>
          <w:szCs w:val="21"/>
          <w:highlight w:val="none"/>
          <w:lang w:val="en-US" w:eastAsia="zh-CN" w:bidi="ar-SA"/>
        </w:rPr>
        <w:t>：</w:t>
      </w:r>
      <w:bookmarkEnd w:id="45"/>
      <w:bookmarkEnd w:id="46"/>
      <w:bookmarkEnd w:id="47"/>
      <w:bookmarkEnd w:id="48"/>
      <w:bookmarkStart w:id="49" w:name="_Toc35393805"/>
      <w:bookmarkStart w:id="50" w:name="_Toc35393636"/>
      <w:bookmarkStart w:id="51" w:name="_Toc28359095"/>
      <w:bookmarkStart w:id="52" w:name="_Toc28359018"/>
    </w:p>
    <w:p w14:paraId="4EE9AAA2">
      <w:pPr>
        <w:spacing w:line="360" w:lineRule="auto"/>
        <w:ind w:firstLine="420" w:firstLineChars="200"/>
        <w:jc w:val="left"/>
        <w:rPr>
          <w:rFonts w:hint="eastAsia" w:ascii="宋体" w:hAnsi="宋体" w:eastAsia="宋体" w:cs="Times New Roman"/>
          <w:sz w:val="21"/>
          <w:szCs w:val="21"/>
          <w:highlight w:val="none"/>
          <w:lang w:val="en-US" w:eastAsia="zh-CN"/>
        </w:rPr>
      </w:pPr>
      <w:bookmarkStart w:id="53" w:name="_Toc7284"/>
      <w:bookmarkStart w:id="54" w:name="_Toc26397"/>
      <w:bookmarkStart w:id="55" w:name="_Toc3500"/>
      <w:bookmarkStart w:id="56" w:name="_Toc27515"/>
      <w:r>
        <w:rPr>
          <w:rFonts w:hint="eastAsia" w:ascii="宋体" w:hAnsi="宋体" w:eastAsia="宋体" w:cs="Times New Roman"/>
          <w:sz w:val="21"/>
          <w:szCs w:val="21"/>
          <w:highlight w:val="none"/>
          <w:lang w:val="en-US" w:eastAsia="zh-CN"/>
        </w:rPr>
        <w:t>本项目响应文件的递交方式现采用电子邮箱接收响应文件，不再进行现场递交。具体办法如下：</w:t>
      </w:r>
    </w:p>
    <w:p w14:paraId="1FAAB2C9">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（1）电子版响应文件的递交方式：</w:t>
      </w:r>
    </w:p>
    <w:p w14:paraId="67C82092">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递交响应文件的电子邮箱为：1258465466@qq.com</w:t>
      </w:r>
    </w:p>
    <w:p w14:paraId="50F4591A">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各潜在供应商须提前将该项目响应文件全部内容的电子版转化为PDF格式，根据</w:t>
      </w:r>
      <w:r>
        <w:rPr>
          <w:rFonts w:hint="eastAsia" w:ascii="宋体" w:hAnsi="宋体" w:cs="Times New Roman"/>
          <w:sz w:val="21"/>
          <w:szCs w:val="21"/>
          <w:highlight w:val="none"/>
          <w:lang w:val="en-US" w:eastAsia="zh-CN"/>
        </w:rPr>
        <w:t>磋商</w:t>
      </w:r>
      <w:r>
        <w:rPr>
          <w:rFonts w:hint="eastAsia" w:ascii="宋体" w:hAnsi="宋体" w:eastAsia="宋体" w:cs="Times New Roman"/>
          <w:sz w:val="21"/>
          <w:szCs w:val="21"/>
          <w:highlight w:val="none"/>
          <w:lang w:val="en-US" w:eastAsia="zh-CN"/>
        </w:rPr>
        <w:t>文件规定需要加盖公章和签字的页面，须将签字、盖章齐全的页面扫描成电子版并转化为PDF格式。</w:t>
      </w:r>
    </w:p>
    <w:p w14:paraId="0030897F">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各潜在供应商须按照</w:t>
      </w:r>
      <w:r>
        <w:rPr>
          <w:rFonts w:hint="eastAsia" w:ascii="宋体" w:hAnsi="宋体" w:cs="Times New Roman"/>
          <w:sz w:val="21"/>
          <w:szCs w:val="21"/>
          <w:highlight w:val="none"/>
          <w:lang w:val="en-US" w:eastAsia="zh-CN"/>
        </w:rPr>
        <w:t>磋商</w:t>
      </w:r>
      <w:bookmarkStart w:id="76" w:name="_GoBack"/>
      <w:bookmarkEnd w:id="76"/>
      <w:r>
        <w:rPr>
          <w:rFonts w:hint="eastAsia" w:ascii="宋体" w:hAnsi="宋体" w:eastAsia="宋体" w:cs="Times New Roman"/>
          <w:sz w:val="21"/>
          <w:szCs w:val="21"/>
          <w:highlight w:val="none"/>
          <w:lang w:val="en-US" w:eastAsia="zh-CN"/>
        </w:rPr>
        <w:t>文件响应文件格式的要求，将响应文件电子版在投标截止时间前发送至电子邮箱。供应商须在领取成交通知书前，按磋商文件规定的份数向采购人提供和电子版响应文件内容完全一致的纸质版响应文件。</w:t>
      </w:r>
    </w:p>
    <w:p w14:paraId="288DC05B">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邮件名称设置成：</w:t>
      </w:r>
      <w:r>
        <w:rPr>
          <w:rFonts w:hint="eastAsia" w:ascii="宋体" w:hAnsi="宋体" w:eastAsia="宋体" w:cs="Times New Roman"/>
          <w:sz w:val="21"/>
          <w:szCs w:val="21"/>
          <w:highlight w:val="none"/>
          <w:lang w:eastAsia="zh-CN"/>
        </w:rPr>
        <w:t>安徽融城高新技术产业发展集团有限公司2026年人力资源管理咨询项目</w:t>
      </w:r>
      <w:r>
        <w:rPr>
          <w:rFonts w:hint="eastAsia" w:ascii="宋体" w:hAnsi="宋体" w:eastAsia="宋体" w:cs="Times New Roman"/>
          <w:sz w:val="21"/>
          <w:szCs w:val="21"/>
          <w:highlight w:val="none"/>
          <w:lang w:val="en-US" w:eastAsia="zh-CN"/>
        </w:rPr>
        <w:t>响应文件。响应文件PDF名称设置成：供应商单位全称。邮件内容与邮件名称相统一，如因供应商邮件名称标识错误或邮件内容混传，责任自负。</w:t>
      </w:r>
    </w:p>
    <w:p w14:paraId="367A4578">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以邮件系统显示的接收时间作为供应商递交响应文件的时间，投标截止时间后电子邮箱接收到的响应文件无效。供应商用于发送响应文件的电子邮箱作为该供应商的指定邮箱。</w:t>
      </w:r>
    </w:p>
    <w:p w14:paraId="2721393A">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（2）开标程序：</w:t>
      </w:r>
    </w:p>
    <w:p w14:paraId="4BD7EB77">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①由采购人监督响应文件的密封情况（检查所有潜在供应商邮件是否为未读状态），并记录在案；</w:t>
      </w:r>
    </w:p>
    <w:p w14:paraId="18455432">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② 根据电子邮箱里的邮件名称公布在投标截止时间前递交响应文件的供应商名称；</w:t>
      </w:r>
    </w:p>
    <w:p w14:paraId="0C250E90">
      <w:pPr>
        <w:widowControl/>
        <w:spacing w:line="360" w:lineRule="auto"/>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③现场采购人、记录人等有关人员在开标记录表及响应文件的密封情况上签字确认；</w:t>
      </w:r>
    </w:p>
    <w:p w14:paraId="6A2F5262">
      <w:pPr>
        <w:widowControl/>
        <w:spacing w:line="360" w:lineRule="auto"/>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④开标记录表由招标代理机构记录后发送至各供应商邮箱。</w:t>
      </w:r>
    </w:p>
    <w:p w14:paraId="57C9CC37">
      <w:pPr>
        <w:widowControl/>
        <w:spacing w:line="360" w:lineRule="auto"/>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（3）开标结束后开标信息的公布及对开标现场质疑的方式：</w:t>
      </w:r>
    </w:p>
    <w:p w14:paraId="1B08CD80">
      <w:pPr>
        <w:widowControl/>
        <w:spacing w:line="360" w:lineRule="auto"/>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招标代理机构工作人员在开标结束后通过电子邮箱分别向各供应商指定电子邮箱发送含有供应商名称及招标文件约定的其他内容的开标信息。</w:t>
      </w:r>
    </w:p>
    <w:p w14:paraId="536F5692">
      <w:pPr>
        <w:widowControl/>
        <w:spacing w:line="360" w:lineRule="auto"/>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供应商对开标现场有质疑的，须在开标结束后15分钟内及时通过电子邮箱将质疑材料发送至采购人指定的电子邮箱，采购人在规定时间内作出答复。</w:t>
      </w:r>
    </w:p>
    <w:p w14:paraId="6D35371B">
      <w:pPr>
        <w:widowControl/>
        <w:spacing w:line="360" w:lineRule="auto"/>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各供应商对开标过程如无异议，则后期针对开标过程的异议和投诉不予受理。</w:t>
      </w:r>
    </w:p>
    <w:p w14:paraId="65E235C2">
      <w:pPr>
        <w:widowControl/>
        <w:spacing w:line="360" w:lineRule="auto"/>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（4）电子版响应文件的移交和询标方式：</w:t>
      </w:r>
    </w:p>
    <w:p w14:paraId="78105228">
      <w:pPr>
        <w:widowControl/>
        <w:spacing w:line="360" w:lineRule="auto"/>
        <w:ind w:firstLine="420" w:firstLineChars="200"/>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1、开标结束后，招标代理机构工作人员及时将电子响应文件下载到由采购人监督过的移动硬盘内，送入评标室。评标委员会依据招标文件对电子版响应文件进行评审。评标过程中需要询标的，评标委员会在采购人监督下与供应商进行电话联系，并将询标函发送至供应商指定的电子邮箱。供应商作出的澄清修改须在15分钟内通过电子邮箱反馈给评标委员会。</w:t>
      </w:r>
    </w:p>
    <w:p w14:paraId="1F7A66E1">
      <w:pPr>
        <w:widowControl/>
        <w:spacing w:line="360" w:lineRule="auto"/>
        <w:ind w:firstLine="420" w:firstLineChars="200"/>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2、二轮报价时，评标委员会在采购人监督下对供应商进行电话通知，供应商应在规定时间内按照采购文件格式填写二轮报价，并将其扫描件发送至电子邮箱为：1258465466@qq.com，评标委员会在采购人监督下进行查阅并记录。</w:t>
      </w:r>
    </w:p>
    <w:p w14:paraId="1FA1A4F3">
      <w:pPr>
        <w:pStyle w:val="4"/>
        <w:keepNext/>
        <w:keepLines/>
        <w:numPr>
          <w:ilvl w:val="0"/>
          <w:numId w:val="2"/>
        </w:numPr>
        <w:autoSpaceDE/>
        <w:autoSpaceDN/>
        <w:spacing w:before="260" w:after="260" w:line="360" w:lineRule="auto"/>
        <w:ind w:left="0" w:leftChars="0" w:right="0" w:rightChars="0" w:firstLine="0" w:firstLineChars="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25D08522">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1.采购人信息</w:t>
      </w:r>
    </w:p>
    <w:p w14:paraId="6F25FEF8">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采 购 人：</w:t>
      </w:r>
      <w:r>
        <w:rPr>
          <w:rFonts w:hint="eastAsia" w:ascii="宋体" w:hAnsi="宋体" w:eastAsia="宋体" w:cs="宋体"/>
          <w:b w:val="0"/>
          <w:sz w:val="21"/>
          <w:szCs w:val="21"/>
          <w:lang w:eastAsia="zh-CN"/>
        </w:rPr>
        <w:t xml:space="preserve">安徽融城高新技术产业发展集团有限公司 </w:t>
      </w:r>
      <w:r>
        <w:rPr>
          <w:rFonts w:hint="eastAsia" w:ascii="宋体" w:hAnsi="宋体" w:eastAsia="宋体" w:cs="宋体"/>
          <w:b w:val="0"/>
          <w:sz w:val="21"/>
          <w:szCs w:val="21"/>
        </w:rPr>
        <w:t xml:space="preserve"> </w:t>
      </w:r>
    </w:p>
    <w:p w14:paraId="1B408027">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地    址：</w:t>
      </w:r>
      <w:r>
        <w:rPr>
          <w:rFonts w:hint="eastAsia" w:ascii="宋体" w:hAnsi="宋体" w:eastAsia="宋体" w:cs="宋体"/>
          <w:b w:val="0"/>
          <w:sz w:val="21"/>
          <w:szCs w:val="21"/>
          <w:lang w:eastAsia="zh-CN"/>
        </w:rPr>
        <w:t>安徽省界首市复兴路509号</w:t>
      </w:r>
      <w:r>
        <w:rPr>
          <w:rFonts w:hint="eastAsia" w:ascii="宋体" w:hAnsi="宋体" w:eastAsia="宋体" w:cs="宋体"/>
          <w:b w:val="0"/>
          <w:sz w:val="21"/>
          <w:szCs w:val="21"/>
        </w:rPr>
        <w:t xml:space="preserve">      </w:t>
      </w:r>
    </w:p>
    <w:p w14:paraId="32373DA8">
      <w:pPr>
        <w:tabs>
          <w:tab w:val="left" w:pos="5880"/>
        </w:tabs>
        <w:spacing w:line="360" w:lineRule="auto"/>
        <w:ind w:left="1041" w:leftChars="371" w:hanging="262" w:hangingChars="125"/>
        <w:jc w:val="left"/>
        <w:outlineLvl w:val="9"/>
        <w:rPr>
          <w:rFonts w:hint="eastAsia" w:ascii="宋体" w:hAnsi="宋体" w:eastAsia="宋体" w:cs="宋体"/>
          <w:b w:val="0"/>
          <w:sz w:val="21"/>
          <w:szCs w:val="21"/>
          <w:lang w:eastAsia="zh-CN"/>
        </w:rPr>
      </w:pPr>
      <w:r>
        <w:rPr>
          <w:rFonts w:hint="eastAsia" w:ascii="宋体" w:hAnsi="宋体" w:eastAsia="宋体" w:cs="宋体"/>
          <w:b w:val="0"/>
          <w:sz w:val="21"/>
          <w:szCs w:val="21"/>
        </w:rPr>
        <w:t xml:space="preserve">联 系 人: </w:t>
      </w:r>
      <w:r>
        <w:rPr>
          <w:rFonts w:hint="eastAsia" w:ascii="宋体" w:hAnsi="宋体" w:cs="宋体"/>
          <w:b w:val="0"/>
          <w:sz w:val="21"/>
          <w:szCs w:val="21"/>
          <w:lang w:val="en-US" w:eastAsia="zh-CN"/>
        </w:rPr>
        <w:t>郭先生</w:t>
      </w:r>
    </w:p>
    <w:p w14:paraId="7F20D23C">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联系方式：</w:t>
      </w:r>
      <w:r>
        <w:rPr>
          <w:rFonts w:hint="eastAsia" w:ascii="宋体" w:hAnsi="宋体" w:cs="宋体"/>
          <w:b w:val="0"/>
          <w:sz w:val="21"/>
          <w:szCs w:val="21"/>
          <w:lang w:eastAsia="zh-CN"/>
        </w:rPr>
        <w:t>17682851238</w:t>
      </w:r>
      <w:r>
        <w:rPr>
          <w:rFonts w:hint="eastAsia" w:ascii="宋体" w:hAnsi="宋体" w:eastAsia="宋体" w:cs="宋体"/>
          <w:b w:val="0"/>
          <w:sz w:val="21"/>
          <w:szCs w:val="21"/>
        </w:rPr>
        <w:t xml:space="preserve">  </w:t>
      </w:r>
    </w:p>
    <w:p w14:paraId="0F595786">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2.采购代理机构信息</w:t>
      </w:r>
    </w:p>
    <w:p w14:paraId="334C276A">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 xml:space="preserve">名    称：中致远工程管理咨询有限公司               </w:t>
      </w:r>
    </w:p>
    <w:p w14:paraId="3CF99563">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 xml:space="preserve">地    址：界首市东城开发区创业广场6号楼（企业孵化器）301室                               </w:t>
      </w:r>
    </w:p>
    <w:p w14:paraId="7F497E30">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 xml:space="preserve">联 系 人：黄工                           </w:t>
      </w:r>
    </w:p>
    <w:p w14:paraId="0237F159">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 xml:space="preserve">联系方式：15055859230   </w:t>
      </w:r>
    </w:p>
    <w:p w14:paraId="3AF9E6D6">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3.项目联系方式</w:t>
      </w:r>
    </w:p>
    <w:p w14:paraId="762D5444">
      <w:pPr>
        <w:tabs>
          <w:tab w:val="left" w:pos="5880"/>
        </w:tabs>
        <w:spacing w:line="360" w:lineRule="auto"/>
        <w:ind w:left="1041" w:leftChars="371" w:hanging="262" w:hangingChars="125"/>
        <w:jc w:val="left"/>
        <w:outlineLvl w:val="9"/>
        <w:rPr>
          <w:rFonts w:hint="eastAsia" w:ascii="宋体" w:hAnsi="宋体" w:eastAsia="宋体" w:cs="宋体"/>
          <w:b w:val="0"/>
          <w:sz w:val="21"/>
          <w:szCs w:val="21"/>
        </w:rPr>
      </w:pPr>
      <w:r>
        <w:rPr>
          <w:rFonts w:hint="eastAsia" w:ascii="宋体" w:hAnsi="宋体" w:eastAsia="宋体" w:cs="宋体"/>
          <w:b w:val="0"/>
          <w:sz w:val="21"/>
          <w:szCs w:val="21"/>
        </w:rPr>
        <w:t xml:space="preserve">联 系 人：黄工                          </w:t>
      </w:r>
    </w:p>
    <w:p w14:paraId="445BD7E3">
      <w:pPr>
        <w:tabs>
          <w:tab w:val="left" w:pos="5880"/>
        </w:tabs>
        <w:spacing w:line="360" w:lineRule="auto"/>
        <w:ind w:left="1041" w:leftChars="371" w:hanging="262" w:hangingChars="125"/>
        <w:jc w:val="left"/>
        <w:outlineLvl w:val="9"/>
        <w:rPr>
          <w:rFonts w:hint="eastAsia" w:ascii="宋体" w:hAnsi="宋体" w:eastAsia="宋体" w:cs="Times New Roman"/>
          <w:i w:val="0"/>
          <w:sz w:val="21"/>
          <w:szCs w:val="21"/>
          <w:highlight w:val="none"/>
          <w:lang w:val="en-US" w:eastAsia="zh-CN"/>
        </w:rPr>
      </w:pPr>
      <w:r>
        <w:rPr>
          <w:rFonts w:hint="eastAsia" w:ascii="宋体" w:hAnsi="宋体" w:eastAsia="宋体" w:cs="宋体"/>
          <w:b w:val="0"/>
          <w:sz w:val="21"/>
          <w:szCs w:val="21"/>
        </w:rPr>
        <w:t>联系方式：15055859230</w:t>
      </w:r>
      <w:r>
        <w:rPr>
          <w:rFonts w:hint="eastAsia" w:ascii="宋体" w:hAnsi="宋体" w:eastAsia="宋体" w:cs="Times New Roman"/>
          <w:i w:val="0"/>
          <w:sz w:val="21"/>
          <w:szCs w:val="21"/>
          <w:highlight w:val="none"/>
          <w:lang w:val="en-US" w:eastAsia="zh-CN"/>
        </w:rPr>
        <w:t xml:space="preserve"> </w:t>
      </w:r>
    </w:p>
    <w:p w14:paraId="550289A6">
      <w:pPr>
        <w:tabs>
          <w:tab w:val="left" w:pos="5880"/>
        </w:tabs>
        <w:spacing w:line="360" w:lineRule="auto"/>
        <w:ind w:left="1041" w:leftChars="371" w:hanging="262" w:hangingChars="125"/>
        <w:jc w:val="left"/>
        <w:outlineLvl w:val="9"/>
        <w:rPr>
          <w:rFonts w:hint="eastAsia" w:ascii="宋体" w:hAnsi="宋体" w:eastAsia="宋体" w:cs="Times New Roman"/>
          <w:i w:val="0"/>
          <w:sz w:val="21"/>
          <w:szCs w:val="21"/>
          <w:highlight w:val="none"/>
          <w:lang w:val="en-US" w:eastAsia="zh-CN"/>
        </w:rPr>
      </w:pPr>
    </w:p>
    <w:p w14:paraId="349094F2">
      <w:pPr>
        <w:tabs>
          <w:tab w:val="left" w:pos="5880"/>
        </w:tabs>
        <w:spacing w:line="360" w:lineRule="auto"/>
        <w:ind w:left="1041" w:leftChars="371" w:hanging="262" w:hangingChars="125"/>
        <w:jc w:val="left"/>
        <w:outlineLvl w:val="9"/>
        <w:rPr>
          <w:rFonts w:hint="eastAsia" w:ascii="宋体" w:hAnsi="宋体" w:eastAsia="宋体" w:cs="Times New Roman"/>
          <w:i w:val="0"/>
          <w:sz w:val="21"/>
          <w:szCs w:val="21"/>
          <w:highlight w:val="none"/>
          <w:lang w:val="en-US" w:eastAsia="zh-CN"/>
        </w:rPr>
      </w:pPr>
    </w:p>
    <w:p w14:paraId="005DFAA5">
      <w:pPr>
        <w:tabs>
          <w:tab w:val="left" w:pos="5880"/>
        </w:tabs>
        <w:spacing w:line="360" w:lineRule="auto"/>
        <w:ind w:left="1041" w:leftChars="371" w:hanging="262" w:hangingChars="125"/>
        <w:jc w:val="left"/>
        <w:outlineLvl w:val="9"/>
        <w:rPr>
          <w:rFonts w:hint="eastAsia" w:ascii="宋体" w:hAnsi="宋体" w:eastAsia="宋体" w:cs="Times New Roman"/>
          <w:i w:val="0"/>
          <w:sz w:val="21"/>
          <w:szCs w:val="21"/>
          <w:highlight w:val="none"/>
          <w:lang w:val="en-US" w:eastAsia="zh-CN"/>
        </w:rPr>
      </w:pPr>
    </w:p>
    <w:p w14:paraId="39256286">
      <w:pPr>
        <w:tabs>
          <w:tab w:val="left" w:pos="5880"/>
        </w:tabs>
        <w:spacing w:line="360" w:lineRule="auto"/>
        <w:ind w:left="1041" w:leftChars="371" w:hanging="262" w:hangingChars="125"/>
        <w:jc w:val="left"/>
        <w:outlineLvl w:val="9"/>
        <w:rPr>
          <w:rFonts w:hint="eastAsia" w:ascii="宋体" w:hAnsi="宋体" w:eastAsia="宋体" w:cs="Times New Roman"/>
          <w:i w:val="0"/>
          <w:sz w:val="21"/>
          <w:szCs w:val="21"/>
          <w:highlight w:val="none"/>
          <w:lang w:val="en-US" w:eastAsia="zh-CN"/>
        </w:rPr>
      </w:pPr>
    </w:p>
    <w:p w14:paraId="20ADA3DF">
      <w:pPr>
        <w:tabs>
          <w:tab w:val="left" w:pos="5880"/>
        </w:tabs>
        <w:spacing w:line="360" w:lineRule="auto"/>
        <w:ind w:left="1041" w:leftChars="371" w:hanging="262" w:hangingChars="125"/>
        <w:jc w:val="left"/>
        <w:outlineLvl w:val="9"/>
        <w:rPr>
          <w:rFonts w:hint="eastAsia" w:ascii="宋体" w:hAnsi="宋体" w:eastAsia="宋体" w:cs="Times New Roman"/>
          <w:i w:val="0"/>
          <w:sz w:val="21"/>
          <w:szCs w:val="21"/>
          <w:highlight w:val="none"/>
          <w:lang w:val="en-US" w:eastAsia="zh-CN"/>
        </w:rPr>
      </w:pPr>
    </w:p>
    <w:p w14:paraId="61E0830C">
      <w:pPr>
        <w:tabs>
          <w:tab w:val="left" w:pos="5880"/>
        </w:tabs>
        <w:spacing w:line="360" w:lineRule="auto"/>
        <w:ind w:left="1041" w:leftChars="371" w:hanging="262" w:hangingChars="125"/>
        <w:jc w:val="left"/>
        <w:outlineLvl w:val="9"/>
        <w:rPr>
          <w:rFonts w:hint="eastAsia" w:ascii="宋体" w:hAnsi="宋体" w:eastAsia="宋体" w:cs="Times New Roman"/>
          <w:i w:val="0"/>
          <w:sz w:val="21"/>
          <w:szCs w:val="21"/>
          <w:highlight w:val="none"/>
          <w:lang w:val="en-US" w:eastAsia="zh-CN"/>
        </w:rPr>
      </w:pPr>
    </w:p>
    <w:p w14:paraId="2F93D41D">
      <w:pPr>
        <w:tabs>
          <w:tab w:val="left" w:pos="5880"/>
        </w:tabs>
        <w:spacing w:line="360" w:lineRule="auto"/>
        <w:jc w:val="left"/>
        <w:outlineLvl w:val="9"/>
        <w:rPr>
          <w:rFonts w:hint="eastAsia" w:ascii="宋体" w:hAnsi="宋体" w:eastAsia="宋体" w:cs="Times New Roman"/>
          <w:i w:val="0"/>
          <w:sz w:val="21"/>
          <w:szCs w:val="21"/>
          <w:highlight w:val="none"/>
          <w:lang w:eastAsia="zh-CN"/>
        </w:rPr>
      </w:pPr>
    </w:p>
    <w:p w14:paraId="49314086">
      <w:pPr>
        <w:pStyle w:val="3"/>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7" w:name="_Toc17991"/>
      <w:r>
        <w:rPr>
          <w:rFonts w:hint="eastAsia" w:ascii="宋体" w:hAnsi="宋体"/>
          <w:sz w:val="32"/>
          <w:szCs w:val="32"/>
          <w:highlight w:val="none"/>
        </w:rPr>
        <w:t>供应商须知</w:t>
      </w:r>
      <w:bookmarkEnd w:id="57"/>
    </w:p>
    <w:p w14:paraId="36AEA495">
      <w:pPr>
        <w:pStyle w:val="6"/>
        <w:rPr>
          <w:highlight w:val="none"/>
        </w:rPr>
      </w:pPr>
      <w:r>
        <w:rPr>
          <w:highlight w:val="none"/>
        </w:rPr>
        <w:t>一、供应商须知前附表</w:t>
      </w:r>
    </w:p>
    <w:p w14:paraId="52314B97">
      <w:pPr>
        <w:pStyle w:val="2"/>
        <w:spacing w:before="160" w:after="6" w:line="360" w:lineRule="auto"/>
        <w:ind w:left="510" w:right="493" w:firstLine="437"/>
        <w:rPr>
          <w:sz w:val="21"/>
          <w:szCs w:val="21"/>
          <w:highlight w:val="none"/>
        </w:rPr>
      </w:pPr>
      <w:r>
        <w:rPr>
          <w:b/>
          <w:sz w:val="21"/>
          <w:szCs w:val="21"/>
          <w:highlight w:val="none"/>
        </w:rPr>
        <w:t>注：</w:t>
      </w:r>
      <w:r>
        <w:rPr>
          <w:sz w:val="21"/>
          <w:szCs w:val="21"/>
          <w:highlight w:val="none"/>
        </w:rPr>
        <w:t>本表是本项目的具体要求，是对供应商须知的具体补充和修改，如有不一致，以本表为准。</w:t>
      </w:r>
    </w:p>
    <w:tbl>
      <w:tblPr>
        <w:tblStyle w:val="1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22C6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05738BA6">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2759" w:type="dxa"/>
            <w:noWrap w:val="0"/>
            <w:vAlign w:val="center"/>
          </w:tcPr>
          <w:p w14:paraId="5D889D0C">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 款 名 称</w:t>
            </w:r>
          </w:p>
        </w:tc>
        <w:tc>
          <w:tcPr>
            <w:tcW w:w="6339" w:type="dxa"/>
            <w:noWrap w:val="0"/>
            <w:vAlign w:val="center"/>
          </w:tcPr>
          <w:p w14:paraId="0211CF10">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编 列 内 容</w:t>
            </w:r>
          </w:p>
        </w:tc>
      </w:tr>
      <w:tr w14:paraId="09D5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7CE982C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2759" w:type="dxa"/>
            <w:noWrap w:val="0"/>
            <w:vAlign w:val="center"/>
          </w:tcPr>
          <w:p w14:paraId="6A177FA9">
            <w:pPr>
              <w:spacing w:line="360" w:lineRule="auto"/>
              <w:ind w:firstLine="840" w:firstLineChars="4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w:t>
            </w:r>
          </w:p>
        </w:tc>
        <w:tc>
          <w:tcPr>
            <w:tcW w:w="6339" w:type="dxa"/>
            <w:noWrap w:val="0"/>
            <w:vAlign w:val="center"/>
          </w:tcPr>
          <w:p w14:paraId="7B4F6AD6">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详见磋商公告 </w:t>
            </w:r>
          </w:p>
        </w:tc>
      </w:tr>
      <w:tr w14:paraId="7064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4A6E9A7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2759" w:type="dxa"/>
            <w:noWrap w:val="0"/>
            <w:vAlign w:val="center"/>
          </w:tcPr>
          <w:p w14:paraId="3E98873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14:paraId="07C13DF8">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09FD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20DAB8A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2759" w:type="dxa"/>
            <w:noWrap w:val="0"/>
            <w:vAlign w:val="center"/>
          </w:tcPr>
          <w:p w14:paraId="6B493D6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14:paraId="02A2E0D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安徽融城高新技术产业发展集团有限公司2026年人力资源管理咨询项目</w:t>
            </w:r>
          </w:p>
        </w:tc>
      </w:tr>
      <w:tr w14:paraId="6F48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59569D0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2759" w:type="dxa"/>
            <w:noWrap w:val="0"/>
            <w:vAlign w:val="center"/>
          </w:tcPr>
          <w:p w14:paraId="66EF78A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工程地点</w:t>
            </w:r>
          </w:p>
        </w:tc>
        <w:tc>
          <w:tcPr>
            <w:tcW w:w="6339" w:type="dxa"/>
            <w:noWrap w:val="0"/>
            <w:vAlign w:val="center"/>
          </w:tcPr>
          <w:p w14:paraId="44CD8B8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14:paraId="4A50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7F4302D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2759" w:type="dxa"/>
            <w:noWrap w:val="0"/>
            <w:vAlign w:val="center"/>
          </w:tcPr>
          <w:p w14:paraId="6B50AF36">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采购范围</w:t>
            </w:r>
          </w:p>
        </w:tc>
        <w:tc>
          <w:tcPr>
            <w:tcW w:w="6339" w:type="dxa"/>
            <w:noWrap w:val="0"/>
            <w:vAlign w:val="center"/>
          </w:tcPr>
          <w:p w14:paraId="5EAE707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sz w:val="21"/>
                <w:szCs w:val="21"/>
                <w:highlight w:val="none"/>
                <w:lang w:eastAsia="zh-CN"/>
              </w:rPr>
              <w:t>为安徽融城高新技术产业发展集团有限公司提供人力资源管理咨询服务，具体详见采购需求。</w:t>
            </w:r>
          </w:p>
        </w:tc>
      </w:tr>
      <w:tr w14:paraId="6B55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6E4FDE9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2759" w:type="dxa"/>
            <w:noWrap w:val="0"/>
            <w:vAlign w:val="center"/>
          </w:tcPr>
          <w:p w14:paraId="5707AEC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服务期限    </w:t>
            </w:r>
          </w:p>
        </w:tc>
        <w:tc>
          <w:tcPr>
            <w:tcW w:w="6339" w:type="dxa"/>
            <w:noWrap w:val="0"/>
            <w:vAlign w:val="center"/>
          </w:tcPr>
          <w:p w14:paraId="22A605B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eastAsia="zh-CN"/>
              </w:rPr>
            </w:pPr>
            <w:r>
              <w:rPr>
                <w:rFonts w:hint="eastAsia" w:ascii="宋体" w:hAnsi="宋体" w:cs="Times New Roman"/>
                <w:sz w:val="21"/>
                <w:szCs w:val="21"/>
                <w:highlight w:val="none"/>
                <w:lang w:val="en-US" w:eastAsia="zh-CN"/>
              </w:rPr>
              <w:t>合同签订后三个月内完成全部人力资源咨询工作，出具认可的报告、制度及方案。</w:t>
            </w:r>
          </w:p>
        </w:tc>
      </w:tr>
      <w:tr w14:paraId="3BD6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1FB7B52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2759" w:type="dxa"/>
            <w:noWrap w:val="0"/>
            <w:vAlign w:val="center"/>
          </w:tcPr>
          <w:p w14:paraId="2269ABD1">
            <w:pPr>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质量</w:t>
            </w:r>
            <w:r>
              <w:rPr>
                <w:rFonts w:hint="eastAsia" w:ascii="宋体" w:hAnsi="宋体" w:cs="宋体"/>
                <w:sz w:val="21"/>
                <w:szCs w:val="21"/>
                <w:highlight w:val="none"/>
                <w:lang w:val="en-US" w:eastAsia="zh-CN"/>
              </w:rPr>
              <w:t>要求</w:t>
            </w:r>
          </w:p>
        </w:tc>
        <w:tc>
          <w:tcPr>
            <w:tcW w:w="6339" w:type="dxa"/>
            <w:noWrap w:val="0"/>
            <w:vAlign w:val="center"/>
          </w:tcPr>
          <w:p w14:paraId="0C31683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Times New Roman" w:hAnsi="Times New Roman" w:cs="Times New Roman"/>
                <w:sz w:val="21"/>
                <w:szCs w:val="21"/>
                <w:lang w:val="en-US"/>
              </w:rPr>
              <w:t>满足招标人使用要求，成果性文件完成后，承诺保障跟踪服务三个月。</w:t>
            </w:r>
          </w:p>
        </w:tc>
      </w:tr>
      <w:tr w14:paraId="4323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4EBD646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759" w:type="dxa"/>
            <w:noWrap w:val="0"/>
            <w:vAlign w:val="center"/>
          </w:tcPr>
          <w:p w14:paraId="58CA6A9E">
            <w:pPr>
              <w:spacing w:line="400" w:lineRule="exact"/>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14:paraId="0320C95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2563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780DD5D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759" w:type="dxa"/>
            <w:noWrap w:val="0"/>
            <w:vAlign w:val="center"/>
          </w:tcPr>
          <w:p w14:paraId="44B4A32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14:paraId="3C68373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14:paraId="19E4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6FB49C2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759" w:type="dxa"/>
            <w:noWrap w:val="0"/>
            <w:vAlign w:val="center"/>
          </w:tcPr>
          <w:p w14:paraId="43E8B10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14:paraId="593D55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代理服务费</w:t>
            </w:r>
            <w:r>
              <w:rPr>
                <w:rFonts w:hint="eastAsia" w:ascii="宋体" w:hAnsi="宋体" w:cs="宋体"/>
                <w:bCs/>
                <w:sz w:val="21"/>
                <w:szCs w:val="21"/>
                <w:highlight w:val="none"/>
                <w:lang w:val="en-US" w:eastAsia="zh-CN"/>
              </w:rPr>
              <w:t>定额收取</w:t>
            </w:r>
            <w:r>
              <w:rPr>
                <w:rFonts w:hint="eastAsia" w:ascii="宋体" w:hAnsi="宋体" w:cs="宋体"/>
                <w:b/>
                <w:bCs w:val="0"/>
                <w:sz w:val="21"/>
                <w:szCs w:val="21"/>
                <w:highlight w:val="none"/>
                <w:lang w:val="en-US" w:eastAsia="zh-CN"/>
              </w:rPr>
              <w:t>45</w:t>
            </w:r>
            <w:r>
              <w:rPr>
                <w:rFonts w:hint="eastAsia" w:ascii="宋体" w:hAnsi="宋体" w:eastAsia="宋体" w:cs="宋体"/>
                <w:b/>
                <w:bCs w:val="0"/>
                <w:sz w:val="21"/>
                <w:szCs w:val="21"/>
                <w:highlight w:val="none"/>
                <w:lang w:val="en-US" w:eastAsia="zh-CN"/>
              </w:rPr>
              <w:t>00</w:t>
            </w:r>
            <w:r>
              <w:rPr>
                <w:rFonts w:hint="eastAsia" w:ascii="宋体" w:hAnsi="宋体" w:eastAsia="宋体" w:cs="宋体"/>
                <w:bCs/>
                <w:sz w:val="21"/>
                <w:szCs w:val="21"/>
                <w:highlight w:val="none"/>
                <w:lang w:val="en-US" w:eastAsia="zh-CN"/>
              </w:rPr>
              <w:t>元</w:t>
            </w:r>
          </w:p>
          <w:p w14:paraId="5C66CF1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14:paraId="3CC5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5D379A4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2759" w:type="dxa"/>
            <w:noWrap w:val="0"/>
            <w:vAlign w:val="center"/>
          </w:tcPr>
          <w:p w14:paraId="32341BB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14:paraId="22189DB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14:paraId="7D8D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E13503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2759" w:type="dxa"/>
            <w:noWrap w:val="0"/>
            <w:vAlign w:val="center"/>
          </w:tcPr>
          <w:p w14:paraId="5ED77AD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14:paraId="4A54463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14:paraId="4FB8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2CDE32D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759" w:type="dxa"/>
            <w:noWrap w:val="0"/>
            <w:vAlign w:val="center"/>
          </w:tcPr>
          <w:p w14:paraId="7E5F0B7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14:paraId="14A0D1B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1F62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66C3CCC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759" w:type="dxa"/>
            <w:noWrap w:val="0"/>
            <w:vAlign w:val="center"/>
          </w:tcPr>
          <w:p w14:paraId="3ED1829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14:paraId="5FDA791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481E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93639C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14:paraId="3EC158D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文件的其他材料</w:t>
            </w:r>
          </w:p>
        </w:tc>
        <w:tc>
          <w:tcPr>
            <w:tcW w:w="6339" w:type="dxa"/>
            <w:noWrap w:val="0"/>
            <w:vAlign w:val="center"/>
          </w:tcPr>
          <w:p w14:paraId="4A5A1A4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文件的澄清、修改及答疑</w:t>
            </w:r>
          </w:p>
        </w:tc>
      </w:tr>
      <w:tr w14:paraId="1B43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A82C229">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14:paraId="1F571C4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文件提出异议的截止时间</w:t>
            </w:r>
          </w:p>
        </w:tc>
        <w:tc>
          <w:tcPr>
            <w:tcW w:w="6339" w:type="dxa"/>
            <w:noWrap w:val="0"/>
            <w:vAlign w:val="center"/>
          </w:tcPr>
          <w:p w14:paraId="7A685EBC">
            <w:pPr>
              <w:pStyle w:val="25"/>
              <w:spacing w:line="360" w:lineRule="auto"/>
              <w:ind w:left="107"/>
              <w:jc w:val="both"/>
              <w:rPr>
                <w:rFonts w:hint="eastAsia"/>
                <w:sz w:val="21"/>
                <w:szCs w:val="21"/>
              </w:rPr>
            </w:pPr>
            <w:r>
              <w:rPr>
                <w:rFonts w:hint="eastAsia"/>
                <w:sz w:val="21"/>
                <w:szCs w:val="21"/>
              </w:rPr>
              <w:t xml:space="preserve">1、受理异议（质疑）的联系方式： </w:t>
            </w:r>
          </w:p>
          <w:p w14:paraId="25545A8C">
            <w:pPr>
              <w:pStyle w:val="25"/>
              <w:spacing w:line="360" w:lineRule="auto"/>
              <w:ind w:left="107"/>
              <w:jc w:val="both"/>
              <w:rPr>
                <w:rFonts w:hint="eastAsia" w:eastAsia="宋体"/>
                <w:sz w:val="21"/>
                <w:szCs w:val="21"/>
                <w:lang w:eastAsia="zh-CN"/>
              </w:rPr>
            </w:pPr>
            <w:r>
              <w:rPr>
                <w:rFonts w:hint="eastAsia"/>
                <w:sz w:val="21"/>
                <w:szCs w:val="21"/>
              </w:rPr>
              <w:t>招标代理机构：</w:t>
            </w:r>
            <w:r>
              <w:rPr>
                <w:rFonts w:hint="eastAsia"/>
                <w:sz w:val="21"/>
                <w:szCs w:val="21"/>
                <w:lang w:eastAsia="zh-CN"/>
              </w:rPr>
              <w:t>中致远工程管理咨询有限公司</w:t>
            </w:r>
          </w:p>
          <w:p w14:paraId="33DE3CF6">
            <w:pPr>
              <w:spacing w:line="360" w:lineRule="auto"/>
              <w:rPr>
                <w:rFonts w:hint="default" w:ascii="宋体" w:hAnsi="宋体" w:eastAsia="宋体"/>
                <w:lang w:val="en-US" w:eastAsia="zh-CN"/>
              </w:rPr>
            </w:pPr>
            <w:r>
              <w:rPr>
                <w:rFonts w:hint="eastAsia"/>
                <w:sz w:val="21"/>
                <w:szCs w:val="21"/>
              </w:rPr>
              <w:t>联系电话</w:t>
            </w:r>
            <w:r>
              <w:rPr>
                <w:rFonts w:hint="eastAsia"/>
                <w:sz w:val="21"/>
                <w:szCs w:val="21"/>
                <w:lang w:eastAsia="zh-CN"/>
              </w:rPr>
              <w:t>：</w:t>
            </w:r>
            <w:r>
              <w:rPr>
                <w:rFonts w:hint="eastAsia" w:ascii="宋体" w:hAnsi="宋体"/>
                <w:lang w:val="en-US" w:eastAsia="zh-CN"/>
              </w:rPr>
              <w:t>15055859230</w:t>
            </w:r>
          </w:p>
          <w:p w14:paraId="4BAC4F80">
            <w:pPr>
              <w:pStyle w:val="25"/>
              <w:spacing w:line="360" w:lineRule="auto"/>
              <w:ind w:left="107"/>
              <w:jc w:val="both"/>
              <w:rPr>
                <w:sz w:val="21"/>
                <w:szCs w:val="21"/>
                <w:lang w:val="en-US"/>
              </w:rPr>
            </w:pPr>
            <w:r>
              <w:rPr>
                <w:rFonts w:hint="eastAsia"/>
                <w:sz w:val="21"/>
                <w:szCs w:val="21"/>
                <w:lang w:val="en-US"/>
              </w:rPr>
              <w:t>电子邮</w:t>
            </w:r>
            <w:r>
              <w:rPr>
                <w:rFonts w:hint="eastAsia"/>
              </w:rPr>
              <w:t>箱：</w:t>
            </w:r>
            <w:r>
              <w:rPr>
                <w:rFonts w:hint="eastAsia"/>
                <w:lang w:val="en-US" w:eastAsia="zh-CN"/>
              </w:rPr>
              <w:t>1258465466</w:t>
            </w:r>
            <w:r>
              <w:t>@qq.com</w:t>
            </w:r>
          </w:p>
          <w:p w14:paraId="530764E0">
            <w:pPr>
              <w:pStyle w:val="25"/>
              <w:spacing w:line="360" w:lineRule="auto"/>
              <w:ind w:left="107"/>
              <w:jc w:val="both"/>
              <w:rPr>
                <w:sz w:val="21"/>
                <w:szCs w:val="21"/>
              </w:rPr>
            </w:pPr>
            <w:r>
              <w:rPr>
                <w:rFonts w:hint="eastAsia"/>
                <w:sz w:val="21"/>
                <w:szCs w:val="21"/>
              </w:rPr>
              <w:t>2、对</w:t>
            </w:r>
            <w:r>
              <w:rPr>
                <w:rFonts w:hint="eastAsia"/>
                <w:sz w:val="21"/>
                <w:szCs w:val="21"/>
                <w:lang w:val="en-US"/>
              </w:rPr>
              <w:t>招标</w:t>
            </w:r>
            <w:r>
              <w:rPr>
                <w:rFonts w:hint="eastAsia"/>
                <w:sz w:val="21"/>
                <w:szCs w:val="21"/>
              </w:rPr>
              <w:t>文件的异议（质疑）：响应人未在本</w:t>
            </w:r>
            <w:r>
              <w:rPr>
                <w:rFonts w:hint="eastAsia"/>
                <w:sz w:val="21"/>
                <w:szCs w:val="21"/>
                <w:lang w:val="en-US"/>
              </w:rPr>
              <w:t>招标</w:t>
            </w:r>
            <w:r>
              <w:rPr>
                <w:rFonts w:hint="eastAsia"/>
                <w:sz w:val="21"/>
                <w:szCs w:val="21"/>
              </w:rPr>
              <w:t xml:space="preserve">文件规定的时间内提出澄清要求的，视为其对本招标文件无异议（质疑）。相关部门依法不予受理。 </w:t>
            </w:r>
          </w:p>
          <w:p w14:paraId="4694491B">
            <w:pPr>
              <w:pStyle w:val="25"/>
              <w:spacing w:line="360" w:lineRule="auto"/>
              <w:ind w:left="107"/>
              <w:jc w:val="both"/>
              <w:rPr>
                <w:sz w:val="21"/>
                <w:szCs w:val="21"/>
              </w:rPr>
            </w:pPr>
            <w:r>
              <w:rPr>
                <w:rFonts w:hint="eastAsia"/>
                <w:sz w:val="21"/>
                <w:szCs w:val="21"/>
              </w:rPr>
              <w:t xml:space="preserve">3、对开标过程提出异议（质疑）的，应于开标现场提出。 </w:t>
            </w:r>
          </w:p>
          <w:p w14:paraId="67CA0DED">
            <w:pPr>
              <w:pStyle w:val="25"/>
              <w:spacing w:line="360" w:lineRule="auto"/>
              <w:ind w:left="107"/>
              <w:jc w:val="both"/>
              <w:rPr>
                <w:sz w:val="21"/>
                <w:szCs w:val="21"/>
              </w:rPr>
            </w:pPr>
            <w:r>
              <w:rPr>
                <w:rFonts w:hint="eastAsia"/>
                <w:sz w:val="21"/>
                <w:szCs w:val="21"/>
              </w:rPr>
              <w:t xml:space="preserve">4、对评标结果的异议（质疑）： </w:t>
            </w:r>
          </w:p>
          <w:p w14:paraId="5F41720B">
            <w:pPr>
              <w:pStyle w:val="25"/>
              <w:spacing w:line="360" w:lineRule="auto"/>
              <w:ind w:left="107"/>
              <w:jc w:val="both"/>
              <w:rPr>
                <w:sz w:val="21"/>
                <w:szCs w:val="21"/>
              </w:rPr>
            </w:pPr>
            <w:r>
              <w:rPr>
                <w:rFonts w:hint="eastAsia"/>
                <w:sz w:val="21"/>
                <w:szCs w:val="21"/>
              </w:rPr>
              <w:t>招标投标相关各方对评标结果有异议（质疑），应在公示期内以书面形式向</w:t>
            </w:r>
            <w:r>
              <w:rPr>
                <w:rFonts w:hint="eastAsia"/>
                <w:sz w:val="21"/>
                <w:szCs w:val="21"/>
                <w:lang w:eastAsia="zh-CN"/>
              </w:rPr>
              <w:t>中致远工程管理咨询有限公司</w:t>
            </w:r>
            <w:r>
              <w:rPr>
                <w:rFonts w:hint="eastAsia"/>
                <w:sz w:val="21"/>
                <w:szCs w:val="21"/>
              </w:rPr>
              <w:t xml:space="preserve">提出。 </w:t>
            </w:r>
          </w:p>
          <w:p w14:paraId="0F9AE398">
            <w:pPr>
              <w:pStyle w:val="25"/>
              <w:spacing w:line="360" w:lineRule="auto"/>
              <w:ind w:left="107"/>
              <w:jc w:val="both"/>
              <w:rPr>
                <w:sz w:val="21"/>
                <w:szCs w:val="21"/>
              </w:rPr>
            </w:pPr>
            <w:r>
              <w:rPr>
                <w:rFonts w:hint="eastAsia"/>
                <w:sz w:val="21"/>
                <w:szCs w:val="21"/>
              </w:rPr>
              <w:t xml:space="preserve">（1）书面异议（质疑）材料应当包括以下内容： </w:t>
            </w:r>
          </w:p>
          <w:p w14:paraId="1EA14466">
            <w:pPr>
              <w:pStyle w:val="25"/>
              <w:spacing w:line="360" w:lineRule="auto"/>
              <w:ind w:left="107"/>
              <w:jc w:val="both"/>
              <w:rPr>
                <w:sz w:val="21"/>
                <w:szCs w:val="21"/>
              </w:rPr>
            </w:pPr>
            <w:r>
              <w:rPr>
                <w:rFonts w:hint="eastAsia"/>
                <w:sz w:val="21"/>
                <w:szCs w:val="21"/>
              </w:rPr>
              <w:t>①提出异议（质疑）的</w:t>
            </w:r>
            <w:r>
              <w:rPr>
                <w:rFonts w:hint="eastAsia"/>
                <w:sz w:val="21"/>
                <w:szCs w:val="21"/>
                <w:lang w:eastAsia="zh-CN"/>
              </w:rPr>
              <w:t>供应商</w:t>
            </w:r>
            <w:r>
              <w:rPr>
                <w:rFonts w:hint="eastAsia"/>
                <w:sz w:val="21"/>
                <w:szCs w:val="21"/>
              </w:rPr>
              <w:t xml:space="preserve">的名称、地址及有效联系方式； </w:t>
            </w:r>
          </w:p>
          <w:p w14:paraId="7A6EE74E">
            <w:pPr>
              <w:pStyle w:val="25"/>
              <w:spacing w:line="360" w:lineRule="auto"/>
              <w:ind w:left="107"/>
              <w:jc w:val="both"/>
              <w:rPr>
                <w:sz w:val="21"/>
                <w:szCs w:val="21"/>
              </w:rPr>
            </w:pPr>
            <w:r>
              <w:rPr>
                <w:rFonts w:hint="eastAsia"/>
                <w:sz w:val="21"/>
                <w:szCs w:val="21"/>
              </w:rPr>
              <w:t>②异议（质疑）对象的</w:t>
            </w:r>
            <w:r>
              <w:rPr>
                <w:rFonts w:hint="eastAsia"/>
                <w:sz w:val="21"/>
                <w:szCs w:val="21"/>
                <w:lang w:eastAsia="zh-CN"/>
              </w:rPr>
              <w:t>供应商</w:t>
            </w:r>
            <w:r>
              <w:rPr>
                <w:rFonts w:hint="eastAsia"/>
                <w:sz w:val="21"/>
                <w:szCs w:val="21"/>
              </w:rPr>
              <w:t xml:space="preserve">的名称； </w:t>
            </w:r>
          </w:p>
          <w:p w14:paraId="42FB3996">
            <w:pPr>
              <w:pStyle w:val="25"/>
              <w:spacing w:line="360" w:lineRule="auto"/>
              <w:ind w:left="107"/>
              <w:jc w:val="both"/>
              <w:rPr>
                <w:sz w:val="21"/>
                <w:szCs w:val="21"/>
              </w:rPr>
            </w:pPr>
            <w:r>
              <w:rPr>
                <w:rFonts w:hint="eastAsia"/>
                <w:sz w:val="21"/>
                <w:szCs w:val="21"/>
              </w:rPr>
              <w:t xml:space="preserve">③异议（质疑）事项的基本事实； </w:t>
            </w:r>
          </w:p>
          <w:p w14:paraId="7FA5FB04">
            <w:pPr>
              <w:pStyle w:val="25"/>
              <w:spacing w:line="360" w:lineRule="auto"/>
              <w:ind w:left="107"/>
              <w:jc w:val="both"/>
              <w:rPr>
                <w:sz w:val="21"/>
                <w:szCs w:val="21"/>
              </w:rPr>
            </w:pPr>
            <w:r>
              <w:rPr>
                <w:rFonts w:hint="eastAsia"/>
                <w:sz w:val="21"/>
                <w:szCs w:val="21"/>
              </w:rPr>
              <w:t xml:space="preserve">④相关请求和主张； </w:t>
            </w:r>
          </w:p>
          <w:p w14:paraId="72878288">
            <w:pPr>
              <w:pStyle w:val="25"/>
              <w:spacing w:line="360" w:lineRule="auto"/>
              <w:ind w:left="107"/>
              <w:jc w:val="both"/>
              <w:rPr>
                <w:sz w:val="21"/>
                <w:szCs w:val="21"/>
              </w:rPr>
            </w:pPr>
            <w:r>
              <w:rPr>
                <w:rFonts w:hint="eastAsia"/>
                <w:sz w:val="21"/>
                <w:szCs w:val="21"/>
              </w:rPr>
              <w:t xml:space="preserve">⑤有效线索和相关证明材料； </w:t>
            </w:r>
          </w:p>
          <w:p w14:paraId="1A8536B5">
            <w:pPr>
              <w:pStyle w:val="25"/>
              <w:spacing w:line="360" w:lineRule="auto"/>
              <w:ind w:left="107"/>
              <w:jc w:val="both"/>
              <w:rPr>
                <w:sz w:val="21"/>
                <w:szCs w:val="21"/>
              </w:rPr>
            </w:pPr>
            <w:r>
              <w:rPr>
                <w:rFonts w:hint="eastAsia"/>
                <w:sz w:val="21"/>
                <w:szCs w:val="21"/>
              </w:rPr>
              <w:t>⑥提出异议（质疑）的</w:t>
            </w:r>
            <w:r>
              <w:rPr>
                <w:rFonts w:hint="eastAsia"/>
                <w:sz w:val="21"/>
                <w:szCs w:val="21"/>
                <w:lang w:eastAsia="zh-CN"/>
              </w:rPr>
              <w:t>供应商</w:t>
            </w:r>
            <w:r>
              <w:rPr>
                <w:rFonts w:hint="eastAsia"/>
                <w:sz w:val="21"/>
                <w:szCs w:val="21"/>
              </w:rPr>
              <w:t xml:space="preserve">是法人的，异议（质疑）材料必须由其法定代表人签字并加盖单位公章，并附法定代表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 应当同时提供其中文译本。 </w:t>
            </w:r>
          </w:p>
          <w:p w14:paraId="44FC80DF">
            <w:pPr>
              <w:pStyle w:val="25"/>
              <w:spacing w:line="360" w:lineRule="auto"/>
              <w:ind w:left="107"/>
              <w:jc w:val="both"/>
              <w:rPr>
                <w:sz w:val="21"/>
                <w:szCs w:val="21"/>
              </w:rPr>
            </w:pPr>
            <w:r>
              <w:rPr>
                <w:rFonts w:hint="eastAsia"/>
                <w:sz w:val="21"/>
                <w:szCs w:val="21"/>
              </w:rPr>
              <w:t xml:space="preserve">（2）有下列情形的异议（质疑）材料不予受理： </w:t>
            </w:r>
          </w:p>
          <w:p w14:paraId="3FDBF336">
            <w:pPr>
              <w:pStyle w:val="25"/>
              <w:spacing w:line="360" w:lineRule="auto"/>
              <w:ind w:left="107"/>
              <w:jc w:val="both"/>
              <w:rPr>
                <w:sz w:val="21"/>
                <w:szCs w:val="21"/>
              </w:rPr>
            </w:pPr>
            <w:r>
              <w:rPr>
                <w:rFonts w:hint="eastAsia"/>
                <w:sz w:val="21"/>
                <w:szCs w:val="21"/>
              </w:rPr>
              <w:t xml:space="preserve">①书面异议（质疑）材料不完整的； </w:t>
            </w:r>
          </w:p>
          <w:p w14:paraId="42BACCD1">
            <w:pPr>
              <w:pStyle w:val="25"/>
              <w:spacing w:line="360" w:lineRule="auto"/>
              <w:ind w:left="107"/>
              <w:jc w:val="both"/>
              <w:rPr>
                <w:sz w:val="21"/>
                <w:szCs w:val="21"/>
              </w:rPr>
            </w:pPr>
            <w:r>
              <w:rPr>
                <w:rFonts w:hint="eastAsia"/>
                <w:sz w:val="21"/>
                <w:szCs w:val="21"/>
              </w:rPr>
              <w:t xml:space="preserve">②异议（质疑）事项含有主观猜测等内容且无充分有效证据的； </w:t>
            </w:r>
          </w:p>
          <w:p w14:paraId="02275E93">
            <w:pPr>
              <w:pStyle w:val="25"/>
              <w:spacing w:line="360" w:lineRule="auto"/>
              <w:ind w:left="107"/>
              <w:jc w:val="both"/>
              <w:rPr>
                <w:sz w:val="21"/>
                <w:szCs w:val="21"/>
              </w:rPr>
            </w:pPr>
            <w:r>
              <w:rPr>
                <w:rFonts w:hint="eastAsia"/>
                <w:sz w:val="21"/>
                <w:szCs w:val="21"/>
              </w:rPr>
              <w:t>③对其他</w:t>
            </w:r>
            <w:r>
              <w:rPr>
                <w:rFonts w:hint="eastAsia"/>
                <w:sz w:val="21"/>
                <w:szCs w:val="21"/>
                <w:lang w:eastAsia="zh-CN"/>
              </w:rPr>
              <w:t>供应商</w:t>
            </w:r>
            <w:r>
              <w:rPr>
                <w:rFonts w:hint="eastAsia"/>
                <w:sz w:val="21"/>
                <w:szCs w:val="21"/>
              </w:rPr>
              <w:t xml:space="preserve">的投标文件详细内容异议（质疑），无法提供合法来源渠道的； </w:t>
            </w:r>
          </w:p>
          <w:p w14:paraId="18953754">
            <w:pPr>
              <w:pStyle w:val="25"/>
              <w:spacing w:line="360" w:lineRule="auto"/>
              <w:ind w:left="107"/>
              <w:jc w:val="both"/>
              <w:rPr>
                <w:sz w:val="21"/>
                <w:szCs w:val="21"/>
              </w:rPr>
            </w:pPr>
            <w:r>
              <w:rPr>
                <w:rFonts w:hint="eastAsia"/>
                <w:sz w:val="21"/>
                <w:szCs w:val="21"/>
              </w:rPr>
              <w:t xml:space="preserve">④违反相关法律法规的。 </w:t>
            </w:r>
          </w:p>
          <w:p w14:paraId="03DA552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lang w:eastAsia="zh-CN"/>
              </w:rPr>
            </w:pPr>
            <w:r>
              <w:rPr>
                <w:rFonts w:hint="eastAsia"/>
                <w:sz w:val="21"/>
                <w:szCs w:val="21"/>
              </w:rPr>
              <w:t>（3）对于虚假、恶意异议（质疑）：提出异议（质疑）的</w:t>
            </w:r>
            <w:r>
              <w:rPr>
                <w:rFonts w:hint="eastAsia"/>
                <w:sz w:val="21"/>
                <w:szCs w:val="21"/>
                <w:lang w:eastAsia="zh-CN"/>
              </w:rPr>
              <w:t>供应商</w:t>
            </w:r>
            <w:r>
              <w:rPr>
                <w:rFonts w:hint="eastAsia"/>
                <w:sz w:val="21"/>
                <w:szCs w:val="21"/>
              </w:rPr>
              <w:t>不得以异议（质疑）为名进行虚假、恶意异议（质疑），干扰招标投标活动的正常进行。对于提供虚假材料，以异议为名谋取</w:t>
            </w:r>
            <w:r>
              <w:rPr>
                <w:rFonts w:hint="eastAsia"/>
                <w:sz w:val="21"/>
                <w:szCs w:val="21"/>
                <w:lang w:eastAsia="zh-CN"/>
              </w:rPr>
              <w:t>成交</w:t>
            </w:r>
            <w:r>
              <w:rPr>
                <w:rFonts w:hint="eastAsia"/>
                <w:sz w:val="21"/>
                <w:szCs w:val="21"/>
              </w:rPr>
              <w:t xml:space="preserve">或恶意异议扰乱招标工作秩序的，招标代理机构将报请行政监管部门处理。 </w:t>
            </w:r>
          </w:p>
        </w:tc>
      </w:tr>
      <w:tr w14:paraId="0E02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46C22196">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14:paraId="52EEF81F">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文件的澄清及修改</w:t>
            </w:r>
          </w:p>
        </w:tc>
        <w:tc>
          <w:tcPr>
            <w:tcW w:w="6339" w:type="dxa"/>
            <w:noWrap w:val="0"/>
            <w:vAlign w:val="center"/>
          </w:tcPr>
          <w:p w14:paraId="3DF292E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采购人对已发出的竞争性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文件进行的必要澄清或者修改的内容可能影响响应文件编制的应在响应截止时间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天前，在</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eastAsia="zh-CN"/>
              </w:rPr>
              <w:t>安徽融城高新技术产业发展集团有限公司</w:t>
            </w:r>
            <w:r>
              <w:rPr>
                <w:rFonts w:hint="eastAsia" w:ascii="宋体" w:hAnsi="宋体" w:eastAsia="宋体" w:cs="宋体"/>
                <w:sz w:val="21"/>
                <w:szCs w:val="21"/>
                <w:highlight w:val="none"/>
                <w:lang w:eastAsia="zh-CN"/>
              </w:rPr>
              <w:t>网》</w:t>
            </w:r>
            <w:r>
              <w:rPr>
                <w:rFonts w:hint="eastAsia" w:ascii="宋体" w:hAnsi="宋体" w:eastAsia="宋体" w:cs="宋体"/>
                <w:sz w:val="21"/>
                <w:szCs w:val="21"/>
                <w:highlight w:val="none"/>
              </w:rPr>
              <w:t>上发布。</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0B49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DD0255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14:paraId="0444AAE5">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文件澄清的时间</w:t>
            </w:r>
          </w:p>
        </w:tc>
        <w:tc>
          <w:tcPr>
            <w:tcW w:w="6339" w:type="dxa"/>
            <w:noWrap w:val="0"/>
            <w:vAlign w:val="center"/>
          </w:tcPr>
          <w:p w14:paraId="000376C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64DB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665DF1A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14:paraId="13A57990">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文件修改的时间</w:t>
            </w:r>
          </w:p>
        </w:tc>
        <w:tc>
          <w:tcPr>
            <w:tcW w:w="6339" w:type="dxa"/>
            <w:noWrap w:val="0"/>
            <w:vAlign w:val="center"/>
          </w:tcPr>
          <w:p w14:paraId="23DC026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0D90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2D2AADCE">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2759" w:type="dxa"/>
            <w:noWrap w:val="0"/>
            <w:vAlign w:val="center"/>
          </w:tcPr>
          <w:p w14:paraId="23AF97A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14:paraId="42454BB6">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14:paraId="6B8C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4FC1EA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14:paraId="5D402D4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14:paraId="4C779F1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19EB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BAE6AB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14:paraId="7ED4F70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14:paraId="632627A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permStart w:id="0" w:edGrp="everyone"/>
            <w:r>
              <w:rPr>
                <w:rFonts w:hint="eastAsia" w:ascii="宋体" w:hAnsi="宋体" w:eastAsia="宋体" w:cs="宋体"/>
                <w:bCs/>
                <w:sz w:val="21"/>
                <w:szCs w:val="21"/>
                <w:highlight w:val="none"/>
                <w:u w:val="single"/>
              </w:rPr>
              <w:t xml:space="preserve">90 </w:t>
            </w:r>
            <w:permEnd w:id="0"/>
            <w:r>
              <w:rPr>
                <w:rFonts w:hint="eastAsia" w:ascii="宋体" w:hAnsi="宋体" w:eastAsia="宋体" w:cs="宋体"/>
                <w:bCs/>
                <w:sz w:val="21"/>
                <w:szCs w:val="21"/>
                <w:highlight w:val="none"/>
              </w:rPr>
              <w:t>日历天</w:t>
            </w:r>
          </w:p>
        </w:tc>
      </w:tr>
      <w:tr w14:paraId="09C6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A0165C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14:paraId="58DA139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保证金</w:t>
            </w:r>
          </w:p>
        </w:tc>
        <w:tc>
          <w:tcPr>
            <w:tcW w:w="6339" w:type="dxa"/>
            <w:noWrap w:val="0"/>
            <w:vAlign w:val="center"/>
          </w:tcPr>
          <w:p w14:paraId="46379C9B">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r>
      <w:tr w14:paraId="7364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E45ECE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14:paraId="5312778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14:paraId="50389D1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14:paraId="28F0229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4DDE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E8DB51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14:paraId="025A8CF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14:paraId="4F8DFEC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w:t>
            </w:r>
          </w:p>
        </w:tc>
      </w:tr>
      <w:tr w14:paraId="7E7C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4E11EF4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14:paraId="270D68FD">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响应文件</w:t>
            </w:r>
            <w:r>
              <w:rPr>
                <w:rFonts w:hint="eastAsia" w:ascii="宋体" w:hAnsi="宋体" w:cs="宋体"/>
                <w:sz w:val="21"/>
                <w:szCs w:val="21"/>
                <w:highlight w:val="none"/>
                <w:lang w:val="en-US" w:eastAsia="zh-CN"/>
              </w:rPr>
              <w:t>要求</w:t>
            </w:r>
          </w:p>
        </w:tc>
        <w:tc>
          <w:tcPr>
            <w:tcW w:w="6339" w:type="dxa"/>
            <w:noWrap w:val="0"/>
            <w:vAlign w:val="center"/>
          </w:tcPr>
          <w:p w14:paraId="066A331D">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r>
              <w:rPr>
                <w:rFonts w:hint="eastAsia"/>
                <w:sz w:val="21"/>
                <w:szCs w:val="21"/>
              </w:rPr>
              <w:t>纸质版文件：正本1份,副本 2份（领取成交通知书前提供）</w:t>
            </w:r>
          </w:p>
        </w:tc>
      </w:tr>
      <w:tr w14:paraId="1262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828BFD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2759" w:type="dxa"/>
            <w:noWrap w:val="0"/>
            <w:vAlign w:val="center"/>
          </w:tcPr>
          <w:p w14:paraId="7604A743">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14:paraId="0248C77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14:paraId="28BC2CF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7C35C35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14:paraId="68986C4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14:paraId="36D2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3611DC0">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14:paraId="6CD2C49C">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14:paraId="6A03039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详见磋商公告</w:t>
            </w:r>
          </w:p>
        </w:tc>
      </w:tr>
      <w:tr w14:paraId="5B2C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E22CD6A">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14:paraId="789951A6">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14:paraId="32B717A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详见磋商公告</w:t>
            </w:r>
          </w:p>
        </w:tc>
      </w:tr>
      <w:tr w14:paraId="4F0A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8265833">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14:paraId="6B7F345C">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14:paraId="46A1C09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14:paraId="460BE57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14:paraId="7D7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6C97045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14:paraId="4BD975B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时间和地点</w:t>
            </w:r>
          </w:p>
        </w:tc>
        <w:tc>
          <w:tcPr>
            <w:tcW w:w="6339" w:type="dxa"/>
            <w:noWrap w:val="0"/>
            <w:vAlign w:val="center"/>
          </w:tcPr>
          <w:p w14:paraId="017E634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时间：</w:t>
            </w:r>
            <w:r>
              <w:rPr>
                <w:rFonts w:hint="eastAsia" w:ascii="宋体" w:hAnsi="宋体" w:eastAsia="宋体" w:cs="宋体"/>
                <w:b/>
                <w:bCs/>
                <w:sz w:val="21"/>
                <w:szCs w:val="21"/>
                <w:highlight w:val="none"/>
                <w:lang w:val="en-US" w:eastAsia="zh-CN"/>
              </w:rPr>
              <w:t>同</w:t>
            </w:r>
            <w:r>
              <w:rPr>
                <w:rFonts w:hint="eastAsia" w:ascii="宋体" w:hAnsi="宋体" w:eastAsia="宋体" w:cs="宋体"/>
                <w:bCs/>
                <w:sz w:val="21"/>
                <w:szCs w:val="21"/>
                <w:highlight w:val="none"/>
              </w:rPr>
              <w:t>响应文件递交、截止时间</w:t>
            </w:r>
          </w:p>
          <w:p w14:paraId="4C69F37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地点：</w:t>
            </w:r>
            <w:r>
              <w:rPr>
                <w:rFonts w:hint="eastAsia" w:ascii="宋体" w:hAnsi="宋体" w:eastAsia="宋体" w:cs="宋体"/>
                <w:b/>
                <w:bCs/>
                <w:sz w:val="21"/>
                <w:szCs w:val="21"/>
                <w:highlight w:val="none"/>
                <w:lang w:val="en-US" w:eastAsia="zh-CN"/>
              </w:rPr>
              <w:t>同</w:t>
            </w:r>
            <w:r>
              <w:rPr>
                <w:rFonts w:hint="eastAsia" w:ascii="宋体" w:hAnsi="宋体" w:eastAsia="宋体" w:cs="宋体"/>
                <w:bCs/>
                <w:sz w:val="21"/>
                <w:szCs w:val="21"/>
                <w:highlight w:val="none"/>
              </w:rPr>
              <w:t>响应文件递交</w:t>
            </w:r>
            <w:r>
              <w:rPr>
                <w:rFonts w:hint="eastAsia" w:ascii="宋体" w:hAnsi="宋体" w:eastAsia="宋体" w:cs="宋体"/>
                <w:bCs/>
                <w:sz w:val="21"/>
                <w:szCs w:val="21"/>
                <w:highlight w:val="none"/>
                <w:lang w:val="en-US" w:eastAsia="zh-CN"/>
              </w:rPr>
              <w:t>地点</w:t>
            </w:r>
          </w:p>
        </w:tc>
      </w:tr>
      <w:tr w14:paraId="3C9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1A2A90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14:paraId="6864AD6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顺序</w:t>
            </w:r>
          </w:p>
        </w:tc>
        <w:tc>
          <w:tcPr>
            <w:tcW w:w="6339" w:type="dxa"/>
            <w:noWrap w:val="0"/>
            <w:vAlign w:val="center"/>
          </w:tcPr>
          <w:p w14:paraId="6FCE6B8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14:paraId="3DCED3E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文件递交的先后顺序进行</w:t>
            </w:r>
          </w:p>
        </w:tc>
      </w:tr>
      <w:tr w14:paraId="268B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F02810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14:paraId="35B5FF6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14:paraId="15A0F749">
            <w:pPr>
              <w:keepNext w:val="0"/>
              <w:keepLines w:val="0"/>
              <w:pageBreakBefore w:val="0"/>
              <w:widowControl w:val="0"/>
              <w:kinsoku/>
              <w:wordWrap/>
              <w:overflowPunct/>
              <w:topLinePunct w:val="0"/>
              <w:autoSpaceDE/>
              <w:autoSpaceDN/>
              <w:bidi w:val="0"/>
              <w:adjustRightInd/>
              <w:snapToGrid/>
              <w:spacing w:line="400" w:lineRule="exact"/>
              <w:ind w:right="283"/>
              <w:textAlignment w:val="auto"/>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无需人员到场</w:t>
            </w:r>
          </w:p>
        </w:tc>
      </w:tr>
      <w:tr w14:paraId="29FE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FB33A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14:paraId="3733A1A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小组的组建</w:t>
            </w:r>
          </w:p>
        </w:tc>
        <w:tc>
          <w:tcPr>
            <w:tcW w:w="6339" w:type="dxa"/>
            <w:noWrap w:val="0"/>
            <w:vAlign w:val="center"/>
          </w:tcPr>
          <w:p w14:paraId="05FFB717">
            <w:pPr>
              <w:keepNext w:val="0"/>
              <w:keepLines w:val="0"/>
              <w:pageBreakBefore w:val="0"/>
              <w:widowControl w:val="0"/>
              <w:kinsoku/>
              <w:wordWrap/>
              <w:overflowPunct/>
              <w:topLinePunct w:val="0"/>
              <w:autoSpaceDE/>
              <w:autoSpaceDN/>
              <w:bidi w:val="0"/>
              <w:adjustRightInd/>
              <w:snapToGrid/>
              <w:spacing w:line="400" w:lineRule="exact"/>
              <w:ind w:left="105" w:leftChars="50" w:right="283" w:firstLine="105" w:firstLineChars="5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小组构成：</w:t>
            </w:r>
            <w:r>
              <w:rPr>
                <w:rFonts w:hint="eastAsia" w:ascii="宋体" w:hAnsi="宋体" w:cs="宋体"/>
                <w:bCs/>
                <w:sz w:val="21"/>
                <w:szCs w:val="21"/>
                <w:highlight w:val="none"/>
                <w:u w:val="single"/>
                <w:lang w:val="en-US" w:eastAsia="zh-CN"/>
              </w:rPr>
              <w:t>3</w:t>
            </w:r>
            <w:r>
              <w:rPr>
                <w:rFonts w:hint="eastAsia" w:ascii="宋体" w:hAnsi="宋体" w:eastAsia="宋体" w:cs="宋体"/>
                <w:bCs/>
                <w:sz w:val="21"/>
                <w:szCs w:val="21"/>
                <w:highlight w:val="none"/>
              </w:rPr>
              <w:t>人及以上单数。</w:t>
            </w:r>
          </w:p>
          <w:p w14:paraId="397B25B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14:paraId="2E06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51934F1B">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14:paraId="3EEF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A26CBA8">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14:paraId="36B75F32">
            <w:pPr>
              <w:spacing w:line="400" w:lineRule="exact"/>
              <w:ind w:left="105"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14:paraId="17B16EE1">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14:paraId="74CB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58AE8EBE">
            <w:pPr>
              <w:spacing w:line="400" w:lineRule="exact"/>
              <w:ind w:right="113"/>
              <w:rPr>
                <w:rFonts w:hint="eastAsia" w:ascii="宋体" w:hAnsi="宋体" w:eastAsia="宋体" w:cs="宋体"/>
                <w:b/>
                <w:sz w:val="21"/>
                <w:szCs w:val="21"/>
                <w:highlight w:val="none"/>
                <w:u w:val="thick"/>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 xml:space="preserve">.最高响应上限 </w:t>
            </w:r>
          </w:p>
        </w:tc>
      </w:tr>
      <w:tr w14:paraId="3C61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46ED37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.1</w:t>
            </w:r>
          </w:p>
        </w:tc>
        <w:tc>
          <w:tcPr>
            <w:tcW w:w="2759" w:type="dxa"/>
            <w:noWrap w:val="0"/>
            <w:vAlign w:val="center"/>
          </w:tcPr>
          <w:p w14:paraId="0BB0A99C">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最高响应上限</w:t>
            </w:r>
          </w:p>
        </w:tc>
        <w:tc>
          <w:tcPr>
            <w:tcW w:w="6339" w:type="dxa"/>
            <w:noWrap w:val="0"/>
            <w:vAlign w:val="center"/>
          </w:tcPr>
          <w:p w14:paraId="520F3000">
            <w:pPr>
              <w:spacing w:line="400" w:lineRule="exact"/>
              <w:jc w:val="left"/>
              <w:rPr>
                <w:rFonts w:hint="eastAsia" w:ascii="宋体" w:hAnsi="宋体" w:eastAsia="宋体" w:cs="宋体"/>
                <w:sz w:val="21"/>
                <w:szCs w:val="21"/>
                <w:highlight w:val="none"/>
              </w:rPr>
            </w:pPr>
            <w:r>
              <w:rPr>
                <w:rFonts w:hint="eastAsia" w:ascii="宋体" w:hAnsi="宋体" w:eastAsia="宋体" w:cs="宋体"/>
                <w:b/>
                <w:bCs w:val="0"/>
                <w:sz w:val="21"/>
                <w:szCs w:val="21"/>
                <w:highlight w:val="none"/>
              </w:rPr>
              <w:t>最高投标</w:t>
            </w:r>
            <w:r>
              <w:rPr>
                <w:rFonts w:hint="eastAsia" w:ascii="宋体" w:hAnsi="宋体" w:cs="宋体"/>
                <w:b/>
                <w:bCs w:val="0"/>
                <w:sz w:val="21"/>
                <w:szCs w:val="21"/>
                <w:highlight w:val="none"/>
                <w:lang w:val="en-US" w:eastAsia="zh-CN"/>
              </w:rPr>
              <w:t>限价</w:t>
            </w:r>
            <w:r>
              <w:rPr>
                <w:rFonts w:hint="eastAsia" w:ascii="宋体" w:hAnsi="宋体" w:eastAsia="宋体" w:cs="宋体"/>
                <w:b/>
                <w:bCs w:val="0"/>
                <w:sz w:val="21"/>
                <w:szCs w:val="21"/>
                <w:highlight w:val="none"/>
              </w:rPr>
              <w:t>：</w:t>
            </w:r>
            <w:r>
              <w:rPr>
                <w:rFonts w:hint="eastAsia" w:ascii="宋体" w:hAnsi="宋体" w:cs="宋体"/>
                <w:b/>
                <w:bCs w:val="0"/>
                <w:sz w:val="21"/>
                <w:szCs w:val="21"/>
                <w:highlight w:val="none"/>
                <w:lang w:val="en-US" w:eastAsia="zh-CN"/>
              </w:rPr>
              <w:t>13.5万元</w:t>
            </w:r>
            <w:r>
              <w:rPr>
                <w:rFonts w:hint="eastAsia" w:ascii="宋体" w:hAnsi="宋体" w:eastAsia="宋体" w:cs="宋体"/>
                <w:b/>
                <w:bCs w:val="0"/>
                <w:sz w:val="21"/>
                <w:szCs w:val="21"/>
                <w:highlight w:val="none"/>
                <w:lang w:val="en-US" w:eastAsia="zh-CN"/>
              </w:rPr>
              <w:t>，供应商所报</w:t>
            </w:r>
            <w:r>
              <w:rPr>
                <w:rFonts w:hint="eastAsia" w:ascii="宋体" w:hAnsi="宋体" w:cs="宋体"/>
                <w:b/>
                <w:bCs w:val="0"/>
                <w:sz w:val="21"/>
                <w:szCs w:val="21"/>
                <w:highlight w:val="none"/>
                <w:lang w:val="en-US" w:eastAsia="zh-CN"/>
              </w:rPr>
              <w:t>金额</w:t>
            </w:r>
            <w:r>
              <w:rPr>
                <w:rFonts w:hint="eastAsia" w:ascii="宋体" w:hAnsi="宋体" w:eastAsia="宋体" w:cs="宋体"/>
                <w:b/>
                <w:bCs w:val="0"/>
                <w:sz w:val="21"/>
                <w:szCs w:val="21"/>
                <w:highlight w:val="none"/>
                <w:lang w:val="en-US" w:eastAsia="zh-CN"/>
              </w:rPr>
              <w:t>大于</w:t>
            </w:r>
            <w:r>
              <w:rPr>
                <w:rFonts w:hint="eastAsia" w:ascii="宋体" w:hAnsi="宋体" w:cs="宋体"/>
                <w:b/>
                <w:bCs w:val="0"/>
                <w:sz w:val="21"/>
                <w:szCs w:val="21"/>
                <w:highlight w:val="none"/>
                <w:lang w:val="en-US" w:eastAsia="zh-CN"/>
              </w:rPr>
              <w:t>或等于最高投标限价</w:t>
            </w:r>
            <w:r>
              <w:rPr>
                <w:rFonts w:hint="eastAsia" w:ascii="宋体" w:hAnsi="宋体" w:eastAsia="宋体" w:cs="宋体"/>
                <w:b/>
                <w:bCs w:val="0"/>
                <w:sz w:val="21"/>
                <w:szCs w:val="21"/>
                <w:highlight w:val="none"/>
                <w:lang w:val="en-US" w:eastAsia="zh-CN"/>
              </w:rPr>
              <w:t>的</w:t>
            </w:r>
            <w:r>
              <w:rPr>
                <w:rFonts w:hint="eastAsia" w:ascii="宋体" w:hAnsi="宋体" w:cs="宋体"/>
                <w:b/>
                <w:bCs w:val="0"/>
                <w:sz w:val="21"/>
                <w:szCs w:val="21"/>
                <w:highlight w:val="none"/>
                <w:lang w:val="en-US" w:eastAsia="zh-CN"/>
              </w:rPr>
              <w:t>按照其废标</w:t>
            </w:r>
            <w:r>
              <w:rPr>
                <w:rFonts w:hint="eastAsia" w:ascii="宋体" w:hAnsi="宋体" w:eastAsia="宋体" w:cs="宋体"/>
                <w:b/>
                <w:bCs w:val="0"/>
                <w:sz w:val="21"/>
                <w:szCs w:val="21"/>
                <w:highlight w:val="none"/>
                <w:lang w:val="en-US" w:eastAsia="zh-CN"/>
              </w:rPr>
              <w:t>处理。</w:t>
            </w:r>
          </w:p>
        </w:tc>
      </w:tr>
      <w:tr w14:paraId="5B6C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FAB41DF">
            <w:pPr>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8.2</w:t>
            </w:r>
          </w:p>
        </w:tc>
        <w:tc>
          <w:tcPr>
            <w:tcW w:w="2759" w:type="dxa"/>
            <w:noWrap w:val="0"/>
            <w:vAlign w:val="center"/>
          </w:tcPr>
          <w:p w14:paraId="6DD4B82B">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投标报价的其他要求</w:t>
            </w:r>
          </w:p>
        </w:tc>
        <w:tc>
          <w:tcPr>
            <w:tcW w:w="6339" w:type="dxa"/>
            <w:noWrap w:val="0"/>
            <w:vAlign w:val="center"/>
          </w:tcPr>
          <w:p w14:paraId="32DDDB72">
            <w:pPr>
              <w:spacing w:line="4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小数点后保留两位有效数字</w:t>
            </w:r>
          </w:p>
        </w:tc>
      </w:tr>
      <w:tr w14:paraId="7DA7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5D2B195">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p>
        </w:tc>
        <w:tc>
          <w:tcPr>
            <w:tcW w:w="9098" w:type="dxa"/>
            <w:gridSpan w:val="2"/>
            <w:noWrap w:val="0"/>
            <w:vAlign w:val="center"/>
          </w:tcPr>
          <w:p w14:paraId="16E21DFA">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14:paraId="29C092D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14:paraId="675FA64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14:paraId="7ECA82C5">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14:paraId="0AD2918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14:paraId="4E08DD91">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14:paraId="3C61D0A1">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14:paraId="0CADD35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4FF5955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文件要求的；响应文件未胶装的。</w:t>
            </w:r>
          </w:p>
          <w:p w14:paraId="2C7CBDE1">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14:paraId="3D60087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14:paraId="6C1F14FB">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小组要求澄清、说明或补正的。</w:t>
            </w:r>
          </w:p>
          <w:p w14:paraId="66651661">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14:paraId="07D73C28">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文件要求,或作出的承诺与竞争性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文件中提供的响应函样本中相关内容相抵触或有遗漏的。</w:t>
            </w:r>
          </w:p>
          <w:p w14:paraId="1C1064D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14:paraId="5B2D5C4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14:paraId="3FA96CE9">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14:paraId="47F8015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14:paraId="27D4A0D7">
      <w:pPr>
        <w:widowControl/>
        <w:spacing w:line="360" w:lineRule="auto"/>
        <w:jc w:val="left"/>
        <w:rPr>
          <w:rFonts w:ascii="宋体" w:hAnsi="宋体"/>
          <w:highlight w:val="none"/>
        </w:rPr>
      </w:pPr>
    </w:p>
    <w:p w14:paraId="0EA73690">
      <w:pPr>
        <w:rPr>
          <w:highlight w:val="none"/>
        </w:rPr>
      </w:pPr>
      <w:r>
        <w:rPr>
          <w:highlight w:val="none"/>
        </w:rPr>
        <w:br w:type="page"/>
      </w:r>
    </w:p>
    <w:p w14:paraId="75B696C7">
      <w:pPr>
        <w:pStyle w:val="6"/>
        <w:rPr>
          <w:highlight w:val="none"/>
        </w:rPr>
      </w:pPr>
      <w:r>
        <w:rPr>
          <w:highlight w:val="none"/>
        </w:rPr>
        <w:t>二、供应商须知正文</w:t>
      </w:r>
    </w:p>
    <w:p w14:paraId="63F5AF5C">
      <w:pPr>
        <w:pStyle w:val="6"/>
        <w:numPr>
          <w:ilvl w:val="0"/>
          <w:numId w:val="3"/>
        </w:numPr>
        <w:rPr>
          <w:highlight w:val="none"/>
        </w:rPr>
      </w:pPr>
      <w:r>
        <w:rPr>
          <w:highlight w:val="none"/>
        </w:rPr>
        <w:t>适用范围</w:t>
      </w:r>
    </w:p>
    <w:p w14:paraId="545FEEA9">
      <w:pPr>
        <w:pStyle w:val="27"/>
        <w:numPr>
          <w:ilvl w:val="1"/>
          <w:numId w:val="3"/>
        </w:numPr>
        <w:tabs>
          <w:tab w:val="left" w:pos="1090"/>
        </w:tabs>
        <w:spacing w:before="159" w:line="360" w:lineRule="auto"/>
        <w:ind w:right="2275" w:hanging="3"/>
        <w:jc w:val="both"/>
        <w:rPr>
          <w:b/>
          <w:sz w:val="21"/>
          <w:szCs w:val="21"/>
          <w:highlight w:val="none"/>
        </w:rPr>
      </w:pPr>
      <w:r>
        <w:rPr>
          <w:spacing w:val="-1"/>
          <w:sz w:val="21"/>
          <w:szCs w:val="21"/>
          <w:highlight w:val="none"/>
        </w:rPr>
        <w:t>本磋商文件仅适用于本次磋商所述的服务项目采购。</w:t>
      </w:r>
    </w:p>
    <w:p w14:paraId="495B7484">
      <w:pPr>
        <w:pStyle w:val="27"/>
        <w:tabs>
          <w:tab w:val="left" w:pos="1090"/>
        </w:tabs>
        <w:spacing w:before="159" w:line="360" w:lineRule="auto"/>
        <w:ind w:left="671" w:right="2275" w:firstLine="0"/>
        <w:jc w:val="center"/>
        <w:rPr>
          <w:b/>
          <w:sz w:val="21"/>
          <w:szCs w:val="21"/>
          <w:highlight w:val="none"/>
        </w:rPr>
      </w:pPr>
      <w:r>
        <w:rPr>
          <w:b/>
          <w:sz w:val="21"/>
          <w:szCs w:val="21"/>
          <w:highlight w:val="none"/>
        </w:rPr>
        <w:t>2.定义</w:t>
      </w:r>
    </w:p>
    <w:p w14:paraId="5FC4D6E0">
      <w:pPr>
        <w:pStyle w:val="27"/>
        <w:numPr>
          <w:ilvl w:val="1"/>
          <w:numId w:val="4"/>
        </w:numPr>
        <w:tabs>
          <w:tab w:val="left" w:pos="1152"/>
        </w:tabs>
        <w:spacing w:line="360" w:lineRule="auto"/>
        <w:ind w:right="253" w:firstLine="434"/>
        <w:jc w:val="both"/>
        <w:rPr>
          <w:sz w:val="21"/>
          <w:szCs w:val="21"/>
          <w:highlight w:val="none"/>
        </w:rPr>
      </w:pPr>
      <w:r>
        <w:rPr>
          <w:spacing w:val="-1"/>
          <w:sz w:val="21"/>
          <w:szCs w:val="21"/>
          <w:highlight w:val="none"/>
        </w:rPr>
        <w:t>服务：系指除货物和工程以外的其他采购对象，包括咨询、调研、</w:t>
      </w:r>
      <w:r>
        <w:rPr>
          <w:sz w:val="21"/>
          <w:szCs w:val="21"/>
          <w:highlight w:val="none"/>
        </w:rPr>
        <w:t>评估、规划、设计、监理、审计、保险、租赁、印刷、维修、物业管理等。</w:t>
      </w:r>
    </w:p>
    <w:p w14:paraId="319DF04F">
      <w:pPr>
        <w:pStyle w:val="27"/>
        <w:numPr>
          <w:ilvl w:val="1"/>
          <w:numId w:val="4"/>
        </w:numPr>
        <w:tabs>
          <w:tab w:val="left" w:pos="1090"/>
        </w:tabs>
        <w:spacing w:line="360" w:lineRule="auto"/>
        <w:ind w:right="370" w:firstLine="434"/>
        <w:jc w:val="both"/>
        <w:rPr>
          <w:sz w:val="21"/>
          <w:szCs w:val="21"/>
          <w:highlight w:val="none"/>
        </w:rPr>
      </w:pPr>
      <w:r>
        <w:rPr>
          <w:spacing w:val="-2"/>
          <w:sz w:val="21"/>
          <w:szCs w:val="21"/>
          <w:highlight w:val="none"/>
        </w:rPr>
        <w:t>时限</w:t>
      </w:r>
      <w:r>
        <w:rPr>
          <w:sz w:val="21"/>
          <w:szCs w:val="21"/>
          <w:highlight w:val="none"/>
        </w:rPr>
        <w:t>（</w:t>
      </w:r>
      <w:r>
        <w:rPr>
          <w:spacing w:val="-2"/>
          <w:sz w:val="21"/>
          <w:szCs w:val="21"/>
          <w:highlight w:val="none"/>
        </w:rPr>
        <w:t>年份、月份等</w:t>
      </w:r>
      <w:r>
        <w:rPr>
          <w:spacing w:val="-3"/>
          <w:sz w:val="21"/>
          <w:szCs w:val="21"/>
          <w:highlight w:val="none"/>
        </w:rPr>
        <w:t>）</w:t>
      </w:r>
      <w:r>
        <w:rPr>
          <w:spacing w:val="-6"/>
          <w:sz w:val="21"/>
          <w:szCs w:val="21"/>
          <w:highlight w:val="none"/>
        </w:rPr>
        <w:t xml:space="preserve">计算：系指从磋商之日向前追溯 </w:t>
      </w:r>
      <w:r>
        <w:rPr>
          <w:sz w:val="21"/>
          <w:szCs w:val="21"/>
          <w:highlight w:val="none"/>
        </w:rPr>
        <w:t>X</w:t>
      </w:r>
      <w:r>
        <w:rPr>
          <w:spacing w:val="-30"/>
          <w:sz w:val="21"/>
          <w:szCs w:val="21"/>
          <w:highlight w:val="none"/>
        </w:rPr>
        <w:t xml:space="preserve"> 年</w:t>
      </w:r>
      <w:r>
        <w:rPr>
          <w:sz w:val="21"/>
          <w:szCs w:val="21"/>
          <w:highlight w:val="none"/>
        </w:rPr>
        <w:t>/</w:t>
      </w:r>
      <w:r>
        <w:rPr>
          <w:spacing w:val="-3"/>
          <w:sz w:val="21"/>
          <w:szCs w:val="21"/>
          <w:highlight w:val="none"/>
        </w:rPr>
        <w:t xml:space="preserve">月（“X” </w:t>
      </w:r>
      <w:r>
        <w:rPr>
          <w:sz w:val="21"/>
          <w:szCs w:val="21"/>
          <w:highlight w:val="none"/>
        </w:rPr>
        <w:t>为“一”及以后整数）起算。</w:t>
      </w:r>
    </w:p>
    <w:p w14:paraId="2524352F">
      <w:pPr>
        <w:pStyle w:val="27"/>
        <w:numPr>
          <w:ilvl w:val="1"/>
          <w:numId w:val="4"/>
        </w:numPr>
        <w:tabs>
          <w:tab w:val="left" w:pos="1090"/>
        </w:tabs>
        <w:spacing w:line="360" w:lineRule="auto"/>
        <w:ind w:right="368" w:firstLine="434"/>
        <w:jc w:val="both"/>
        <w:rPr>
          <w:sz w:val="21"/>
          <w:szCs w:val="21"/>
          <w:highlight w:val="none"/>
        </w:rPr>
      </w:pPr>
      <w:r>
        <w:rPr>
          <w:spacing w:val="-5"/>
          <w:sz w:val="21"/>
          <w:szCs w:val="21"/>
          <w:highlight w:val="none"/>
        </w:rPr>
        <w:t>业绩：除非本磋商文件中另有规定，业绩系指符合本磋商文件规定的与</w:t>
      </w:r>
      <w:r>
        <w:rPr>
          <w:sz w:val="21"/>
          <w:szCs w:val="21"/>
          <w:highlight w:val="none"/>
        </w:rPr>
        <w:t>最终用户签订的合同。供应商与其关联公司（如母公司、控股公司、分公司、子公司、同一法定代表人的公司等）之间签订的合同，均不予认可。</w:t>
      </w:r>
    </w:p>
    <w:p w14:paraId="0E6DB6BC">
      <w:pPr>
        <w:pStyle w:val="2"/>
        <w:spacing w:line="360" w:lineRule="auto"/>
        <w:ind w:left="234" w:right="296" w:firstLine="434"/>
        <w:rPr>
          <w:sz w:val="21"/>
          <w:szCs w:val="21"/>
          <w:highlight w:val="none"/>
        </w:rPr>
      </w:pPr>
      <w:r>
        <w:rPr>
          <w:sz w:val="21"/>
          <w:szCs w:val="21"/>
          <w:highlight w:val="none"/>
        </w:rPr>
        <w:t>除非本磋商文件中另有规定，否则业绩均为已服务完毕的业绩，业绩时间均以合同签订之日为追溯节点。</w:t>
      </w:r>
    </w:p>
    <w:p w14:paraId="3A8C87FB">
      <w:pPr>
        <w:pStyle w:val="6"/>
        <w:numPr>
          <w:ilvl w:val="0"/>
          <w:numId w:val="5"/>
        </w:numPr>
        <w:rPr>
          <w:highlight w:val="none"/>
        </w:rPr>
      </w:pPr>
      <w:r>
        <w:rPr>
          <w:highlight w:val="none"/>
        </w:rPr>
        <w:t>采购人、采购代理机构及供应商</w:t>
      </w:r>
    </w:p>
    <w:p w14:paraId="3AEF25EA">
      <w:pPr>
        <w:pStyle w:val="27"/>
        <w:numPr>
          <w:ilvl w:val="1"/>
          <w:numId w:val="5"/>
        </w:numPr>
        <w:tabs>
          <w:tab w:val="left" w:pos="1090"/>
        </w:tabs>
        <w:spacing w:before="156" w:line="360" w:lineRule="auto"/>
        <w:ind w:right="370" w:firstLine="434"/>
        <w:jc w:val="both"/>
        <w:rPr>
          <w:sz w:val="21"/>
          <w:szCs w:val="21"/>
          <w:highlight w:val="none"/>
        </w:rPr>
      </w:pPr>
      <w:r>
        <w:rPr>
          <w:spacing w:val="-17"/>
          <w:sz w:val="21"/>
          <w:szCs w:val="21"/>
          <w:highlight w:val="none"/>
        </w:rPr>
        <w:t>采购人：是指依法开展采购活动的国家机关、事业单位、团体组织。</w:t>
      </w:r>
      <w:r>
        <w:rPr>
          <w:sz w:val="21"/>
          <w:szCs w:val="21"/>
          <w:highlight w:val="none"/>
        </w:rPr>
        <w:t>本项目的采购人见</w:t>
      </w:r>
      <w:r>
        <w:rPr>
          <w:sz w:val="21"/>
          <w:szCs w:val="21"/>
          <w:highlight w:val="none"/>
          <w:u w:val="single"/>
        </w:rPr>
        <w:t>供应商须知前附表</w:t>
      </w:r>
      <w:r>
        <w:rPr>
          <w:sz w:val="21"/>
          <w:szCs w:val="21"/>
          <w:highlight w:val="none"/>
        </w:rPr>
        <w:t>。</w:t>
      </w:r>
    </w:p>
    <w:p w14:paraId="1527026C">
      <w:pPr>
        <w:pStyle w:val="27"/>
        <w:numPr>
          <w:ilvl w:val="1"/>
          <w:numId w:val="5"/>
        </w:numPr>
        <w:tabs>
          <w:tab w:val="left" w:pos="1073"/>
        </w:tabs>
        <w:spacing w:before="5" w:line="360" w:lineRule="auto"/>
        <w:ind w:right="253" w:firstLine="434"/>
        <w:jc w:val="both"/>
        <w:rPr>
          <w:sz w:val="21"/>
          <w:szCs w:val="21"/>
          <w:highlight w:val="none"/>
        </w:rPr>
      </w:pPr>
      <w:r>
        <w:rPr>
          <w:spacing w:val="-13"/>
          <w:sz w:val="21"/>
          <w:szCs w:val="21"/>
          <w:highlight w:val="none"/>
        </w:rPr>
        <w:t>采购代理机构：是指从事采购代理业务的社会中介机构。</w:t>
      </w:r>
      <w:r>
        <w:rPr>
          <w:sz w:val="21"/>
          <w:szCs w:val="21"/>
          <w:highlight w:val="none"/>
        </w:rPr>
        <w:t>本项目的采购代理机构见</w:t>
      </w:r>
      <w:r>
        <w:rPr>
          <w:sz w:val="21"/>
          <w:szCs w:val="21"/>
          <w:highlight w:val="none"/>
          <w:u w:val="single"/>
        </w:rPr>
        <w:t>供应商须知前附表</w:t>
      </w:r>
      <w:r>
        <w:rPr>
          <w:sz w:val="21"/>
          <w:szCs w:val="21"/>
          <w:highlight w:val="none"/>
        </w:rPr>
        <w:t>。</w:t>
      </w:r>
    </w:p>
    <w:p w14:paraId="21FA5F50">
      <w:pPr>
        <w:pStyle w:val="27"/>
        <w:numPr>
          <w:ilvl w:val="1"/>
          <w:numId w:val="5"/>
        </w:numPr>
        <w:tabs>
          <w:tab w:val="left" w:pos="1090"/>
        </w:tabs>
        <w:spacing w:line="360" w:lineRule="auto"/>
        <w:ind w:right="369" w:firstLine="434"/>
        <w:jc w:val="both"/>
        <w:rPr>
          <w:sz w:val="21"/>
          <w:szCs w:val="21"/>
          <w:highlight w:val="none"/>
        </w:rPr>
      </w:pPr>
      <w:r>
        <w:rPr>
          <w:spacing w:val="-5"/>
          <w:sz w:val="21"/>
          <w:szCs w:val="21"/>
          <w:highlight w:val="none"/>
        </w:rPr>
        <w:t>供应商：是指向采购人提供货物、工程或者服务的法人、非法人组织或</w:t>
      </w:r>
      <w:r>
        <w:rPr>
          <w:spacing w:val="-10"/>
          <w:sz w:val="21"/>
          <w:szCs w:val="21"/>
          <w:highlight w:val="none"/>
        </w:rPr>
        <w:t>者自然人。分支机构不得参加</w:t>
      </w:r>
      <w:r>
        <w:rPr>
          <w:rFonts w:hint="eastAsia"/>
          <w:spacing w:val="-10"/>
          <w:sz w:val="21"/>
          <w:szCs w:val="21"/>
          <w:highlight w:val="none"/>
        </w:rPr>
        <w:t>采购</w:t>
      </w:r>
      <w:r>
        <w:rPr>
          <w:spacing w:val="-10"/>
          <w:sz w:val="21"/>
          <w:szCs w:val="21"/>
          <w:highlight w:val="none"/>
        </w:rPr>
        <w:t>活动，但银行、保险、石油石化、电力、</w:t>
      </w:r>
      <w:r>
        <w:rPr>
          <w:sz w:val="21"/>
          <w:szCs w:val="21"/>
          <w:highlight w:val="none"/>
        </w:rPr>
        <w:t>电信等特殊行业除外。本项目的供应商须满足以下条件：</w:t>
      </w:r>
    </w:p>
    <w:p w14:paraId="2F079D22">
      <w:pPr>
        <w:pStyle w:val="27"/>
        <w:numPr>
          <w:ilvl w:val="2"/>
          <w:numId w:val="5"/>
        </w:numPr>
        <w:tabs>
          <w:tab w:val="left" w:pos="1330"/>
        </w:tabs>
        <w:spacing w:line="360" w:lineRule="auto"/>
        <w:ind w:right="369" w:firstLine="434"/>
        <w:jc w:val="both"/>
        <w:rPr>
          <w:sz w:val="21"/>
          <w:szCs w:val="21"/>
          <w:highlight w:val="none"/>
        </w:rPr>
      </w:pPr>
      <w:r>
        <w:rPr>
          <w:spacing w:val="-3"/>
          <w:sz w:val="21"/>
          <w:szCs w:val="21"/>
          <w:highlight w:val="none"/>
        </w:rPr>
        <w:t>在中华人民共和国境内注册，能够独立承担民事责任，有生产或供应</w:t>
      </w:r>
      <w:r>
        <w:rPr>
          <w:sz w:val="21"/>
          <w:szCs w:val="21"/>
          <w:highlight w:val="none"/>
        </w:rPr>
        <w:t>能力的本国供应商。</w:t>
      </w:r>
    </w:p>
    <w:p w14:paraId="4B9CCACF">
      <w:pPr>
        <w:pStyle w:val="27"/>
        <w:numPr>
          <w:ilvl w:val="2"/>
          <w:numId w:val="5"/>
        </w:numPr>
        <w:tabs>
          <w:tab w:val="left" w:pos="1330"/>
        </w:tabs>
        <w:spacing w:line="360" w:lineRule="auto"/>
        <w:ind w:left="1329" w:hanging="661"/>
        <w:jc w:val="both"/>
        <w:rPr>
          <w:sz w:val="21"/>
          <w:szCs w:val="21"/>
          <w:highlight w:val="none"/>
        </w:rPr>
      </w:pPr>
      <w:r>
        <w:rPr>
          <w:sz w:val="21"/>
          <w:szCs w:val="21"/>
          <w:highlight w:val="none"/>
        </w:rPr>
        <w:t>以采购代理机构认可的方式获得了本项目的磋商文件。</w:t>
      </w:r>
    </w:p>
    <w:p w14:paraId="3430D3DB">
      <w:pPr>
        <w:pStyle w:val="27"/>
        <w:numPr>
          <w:ilvl w:val="1"/>
          <w:numId w:val="5"/>
        </w:numPr>
        <w:tabs>
          <w:tab w:val="left" w:pos="1090"/>
        </w:tabs>
        <w:spacing w:before="160" w:line="360" w:lineRule="auto"/>
        <w:ind w:right="245" w:firstLine="434"/>
        <w:jc w:val="both"/>
        <w:rPr>
          <w:sz w:val="21"/>
          <w:szCs w:val="21"/>
          <w:highlight w:val="none"/>
        </w:rPr>
      </w:pPr>
      <w:r>
        <w:rPr>
          <w:spacing w:val="-2"/>
          <w:sz w:val="21"/>
          <w:szCs w:val="21"/>
          <w:highlight w:val="none"/>
        </w:rPr>
        <w:t>单位负责人为同一人或者存在直接控股、管理关系的不同供应商，不得</w:t>
      </w:r>
      <w:r>
        <w:rPr>
          <w:spacing w:val="-3"/>
          <w:sz w:val="21"/>
          <w:szCs w:val="21"/>
          <w:highlight w:val="none"/>
        </w:rPr>
        <w:t>参加同一合同项下的采购活动。否则其相关响应文件将被认定为</w:t>
      </w:r>
      <w:r>
        <w:rPr>
          <w:b/>
          <w:sz w:val="21"/>
          <w:szCs w:val="21"/>
          <w:highlight w:val="none"/>
        </w:rPr>
        <w:t>响应无效</w:t>
      </w:r>
      <w:r>
        <w:rPr>
          <w:spacing w:val="-14"/>
          <w:sz w:val="21"/>
          <w:szCs w:val="21"/>
          <w:highlight w:val="none"/>
        </w:rPr>
        <w:t>。</w:t>
      </w:r>
    </w:p>
    <w:p w14:paraId="6CA8158F">
      <w:pPr>
        <w:pStyle w:val="27"/>
        <w:numPr>
          <w:ilvl w:val="1"/>
          <w:numId w:val="5"/>
        </w:numPr>
        <w:tabs>
          <w:tab w:val="left" w:pos="1090"/>
        </w:tabs>
        <w:spacing w:before="5" w:line="360" w:lineRule="auto"/>
        <w:ind w:right="360" w:firstLine="434"/>
        <w:jc w:val="both"/>
        <w:rPr>
          <w:sz w:val="21"/>
          <w:szCs w:val="21"/>
          <w:highlight w:val="none"/>
        </w:rPr>
      </w:pPr>
      <w:r>
        <w:rPr>
          <w:spacing w:val="-3"/>
          <w:sz w:val="21"/>
          <w:szCs w:val="21"/>
          <w:highlight w:val="none"/>
        </w:rPr>
        <w:t>为本项目提供过整体设计、规范编制或者项目管理、监理、检测等服务</w:t>
      </w:r>
      <w:r>
        <w:rPr>
          <w:sz w:val="21"/>
          <w:szCs w:val="21"/>
          <w:highlight w:val="none"/>
        </w:rPr>
        <w:t>的供应商，不得再参加本项目上述服务以外的其他采购活动。否则其响应文件将被认定为</w:t>
      </w:r>
      <w:r>
        <w:rPr>
          <w:b/>
          <w:sz w:val="21"/>
          <w:szCs w:val="21"/>
          <w:highlight w:val="none"/>
        </w:rPr>
        <w:t>响应无效</w:t>
      </w:r>
      <w:r>
        <w:rPr>
          <w:sz w:val="21"/>
          <w:szCs w:val="21"/>
          <w:highlight w:val="none"/>
        </w:rPr>
        <w:t>。</w:t>
      </w:r>
    </w:p>
    <w:p w14:paraId="484393E7">
      <w:pPr>
        <w:pStyle w:val="6"/>
        <w:numPr>
          <w:ilvl w:val="0"/>
          <w:numId w:val="5"/>
        </w:numPr>
        <w:rPr>
          <w:highlight w:val="none"/>
        </w:rPr>
      </w:pPr>
      <w:r>
        <w:rPr>
          <w:highlight w:val="none"/>
        </w:rPr>
        <w:t>资金来源</w:t>
      </w:r>
    </w:p>
    <w:p w14:paraId="57E7FFD7">
      <w:pPr>
        <w:pStyle w:val="27"/>
        <w:numPr>
          <w:ilvl w:val="1"/>
          <w:numId w:val="5"/>
        </w:numPr>
        <w:tabs>
          <w:tab w:val="left" w:pos="1097"/>
        </w:tabs>
        <w:spacing w:before="161" w:line="360" w:lineRule="auto"/>
        <w:ind w:left="1096" w:hanging="428"/>
        <w:rPr>
          <w:sz w:val="21"/>
          <w:szCs w:val="21"/>
          <w:highlight w:val="none"/>
        </w:rPr>
      </w:pPr>
      <w:r>
        <w:rPr>
          <w:sz w:val="21"/>
          <w:szCs w:val="21"/>
          <w:highlight w:val="none"/>
        </w:rPr>
        <w:t>本项目的采购人已获得足以支付本次磋商后所签订的合同项下的资金。</w:t>
      </w:r>
    </w:p>
    <w:p w14:paraId="44D10BDC">
      <w:pPr>
        <w:pStyle w:val="27"/>
        <w:tabs>
          <w:tab w:val="left" w:pos="1090"/>
        </w:tabs>
        <w:spacing w:before="158" w:line="360" w:lineRule="auto"/>
        <w:ind w:left="671" w:right="714" w:firstLine="0"/>
        <w:rPr>
          <w:b/>
          <w:sz w:val="21"/>
          <w:szCs w:val="21"/>
          <w:highlight w:val="none"/>
        </w:rPr>
      </w:pPr>
      <w:r>
        <w:rPr>
          <w:rFonts w:hint="eastAsia"/>
          <w:sz w:val="21"/>
          <w:szCs w:val="21"/>
          <w:highlight w:val="none"/>
        </w:rPr>
        <w:t xml:space="preserve">4.2 </w:t>
      </w:r>
      <w:r>
        <w:rPr>
          <w:sz w:val="21"/>
          <w:szCs w:val="21"/>
          <w:highlight w:val="none"/>
        </w:rPr>
        <w:t>项目预算金额或分项（或分包）预算金额见磋商公告（磋商邀请）。</w:t>
      </w:r>
    </w:p>
    <w:p w14:paraId="6BE79580">
      <w:pPr>
        <w:pStyle w:val="6"/>
        <w:numPr>
          <w:ilvl w:val="0"/>
          <w:numId w:val="5"/>
        </w:numPr>
        <w:rPr>
          <w:highlight w:val="none"/>
        </w:rPr>
      </w:pPr>
      <w:r>
        <w:rPr>
          <w:highlight w:val="none"/>
        </w:rPr>
        <w:t>磋商费用</w:t>
      </w:r>
    </w:p>
    <w:p w14:paraId="13D728DF">
      <w:pPr>
        <w:pStyle w:val="2"/>
        <w:spacing w:before="1" w:line="360" w:lineRule="auto"/>
        <w:ind w:left="671" w:right="256"/>
        <w:rPr>
          <w:sz w:val="21"/>
          <w:szCs w:val="21"/>
          <w:highlight w:val="none"/>
        </w:rPr>
      </w:pPr>
      <w:r>
        <w:rPr>
          <w:sz w:val="21"/>
          <w:szCs w:val="21"/>
          <w:highlight w:val="none"/>
        </w:rPr>
        <w:t>不论磋商的结果如何，供应商应承担其所有与准备和参加磋商有关的费用。</w:t>
      </w:r>
    </w:p>
    <w:p w14:paraId="7D18A8C1">
      <w:pPr>
        <w:pStyle w:val="6"/>
        <w:numPr>
          <w:ilvl w:val="0"/>
          <w:numId w:val="5"/>
        </w:numPr>
        <w:rPr>
          <w:highlight w:val="none"/>
          <w:lang w:val="zh-CN"/>
        </w:rPr>
      </w:pPr>
      <w:r>
        <w:rPr>
          <w:highlight w:val="none"/>
          <w:lang w:val="zh-CN"/>
        </w:rPr>
        <w:t>磋商文件构成</w:t>
      </w:r>
    </w:p>
    <w:p w14:paraId="1BEB2D0A">
      <w:pPr>
        <w:pStyle w:val="27"/>
        <w:numPr>
          <w:ilvl w:val="1"/>
          <w:numId w:val="5"/>
        </w:numPr>
        <w:tabs>
          <w:tab w:val="left" w:pos="1097"/>
        </w:tabs>
        <w:spacing w:before="161" w:line="360" w:lineRule="auto"/>
        <w:ind w:left="1096" w:hanging="428"/>
        <w:rPr>
          <w:sz w:val="21"/>
          <w:szCs w:val="21"/>
          <w:highlight w:val="none"/>
        </w:rPr>
      </w:pPr>
      <w:r>
        <w:rPr>
          <w:sz w:val="21"/>
          <w:szCs w:val="21"/>
          <w:highlight w:val="none"/>
        </w:rPr>
        <w:t>磋商文件包括下列内容：</w:t>
      </w:r>
    </w:p>
    <w:p w14:paraId="1482AB4A">
      <w:pPr>
        <w:pStyle w:val="2"/>
        <w:tabs>
          <w:tab w:val="left" w:pos="2034"/>
        </w:tabs>
        <w:spacing w:before="120" w:line="360" w:lineRule="auto"/>
        <w:ind w:left="1072"/>
        <w:rPr>
          <w:sz w:val="21"/>
          <w:szCs w:val="21"/>
          <w:highlight w:val="none"/>
        </w:rPr>
      </w:pPr>
      <w:r>
        <w:rPr>
          <w:sz w:val="21"/>
          <w:szCs w:val="21"/>
          <w:highlight w:val="none"/>
        </w:rPr>
        <w:t>第一章</w:t>
      </w:r>
      <w:r>
        <w:rPr>
          <w:sz w:val="21"/>
          <w:szCs w:val="21"/>
          <w:highlight w:val="none"/>
        </w:rPr>
        <w:tab/>
      </w:r>
      <w:r>
        <w:rPr>
          <w:rFonts w:hint="eastAsia"/>
          <w:sz w:val="21"/>
          <w:szCs w:val="21"/>
          <w:highlight w:val="none"/>
        </w:rPr>
        <w:t>竞争性磋商公告</w:t>
      </w:r>
    </w:p>
    <w:p w14:paraId="6BE4CBD4">
      <w:pPr>
        <w:pStyle w:val="2"/>
        <w:tabs>
          <w:tab w:val="left" w:pos="2034"/>
        </w:tabs>
        <w:spacing w:before="161" w:line="360" w:lineRule="auto"/>
        <w:ind w:left="1074" w:right="4449"/>
        <w:rPr>
          <w:sz w:val="21"/>
          <w:szCs w:val="21"/>
          <w:highlight w:val="none"/>
        </w:rPr>
      </w:pPr>
      <w:r>
        <w:rPr>
          <w:sz w:val="21"/>
          <w:szCs w:val="21"/>
          <w:highlight w:val="none"/>
        </w:rPr>
        <w:t>第二章</w:t>
      </w:r>
      <w:r>
        <w:rPr>
          <w:sz w:val="21"/>
          <w:szCs w:val="21"/>
          <w:highlight w:val="none"/>
        </w:rPr>
        <w:tab/>
      </w:r>
      <w:r>
        <w:rPr>
          <w:sz w:val="21"/>
          <w:szCs w:val="21"/>
          <w:highlight w:val="none"/>
        </w:rPr>
        <w:t>供应商须知</w:t>
      </w:r>
    </w:p>
    <w:p w14:paraId="17F4796D">
      <w:pPr>
        <w:pStyle w:val="2"/>
        <w:tabs>
          <w:tab w:val="left" w:pos="2034"/>
        </w:tabs>
        <w:spacing w:before="5" w:line="360" w:lineRule="auto"/>
        <w:ind w:left="1074"/>
        <w:rPr>
          <w:sz w:val="21"/>
          <w:szCs w:val="21"/>
          <w:highlight w:val="none"/>
        </w:rPr>
      </w:pPr>
      <w:r>
        <w:rPr>
          <w:sz w:val="21"/>
          <w:szCs w:val="21"/>
          <w:highlight w:val="none"/>
        </w:rPr>
        <w:t>第三章</w:t>
      </w:r>
      <w:r>
        <w:rPr>
          <w:sz w:val="21"/>
          <w:szCs w:val="21"/>
          <w:highlight w:val="none"/>
        </w:rPr>
        <w:tab/>
      </w:r>
      <w:r>
        <w:rPr>
          <w:sz w:val="21"/>
          <w:szCs w:val="21"/>
          <w:highlight w:val="none"/>
        </w:rPr>
        <w:t>采购需求</w:t>
      </w:r>
    </w:p>
    <w:p w14:paraId="1D3D89F3">
      <w:pPr>
        <w:pStyle w:val="2"/>
        <w:tabs>
          <w:tab w:val="left" w:pos="2034"/>
        </w:tabs>
        <w:spacing w:before="158" w:line="360" w:lineRule="auto"/>
        <w:ind w:left="1074" w:right="5169"/>
        <w:rPr>
          <w:spacing w:val="-17"/>
          <w:sz w:val="21"/>
          <w:szCs w:val="21"/>
          <w:highlight w:val="none"/>
        </w:rPr>
      </w:pPr>
      <w:r>
        <w:rPr>
          <w:sz w:val="21"/>
          <w:szCs w:val="21"/>
          <w:highlight w:val="none"/>
        </w:rPr>
        <w:t>第四章</w:t>
      </w:r>
      <w:r>
        <w:rPr>
          <w:sz w:val="21"/>
          <w:szCs w:val="21"/>
          <w:highlight w:val="none"/>
        </w:rPr>
        <w:tab/>
      </w:r>
      <w:r>
        <w:rPr>
          <w:sz w:val="21"/>
          <w:szCs w:val="21"/>
          <w:highlight w:val="none"/>
        </w:rPr>
        <w:t>评审方法和标</w:t>
      </w:r>
      <w:r>
        <w:rPr>
          <w:spacing w:val="-17"/>
          <w:sz w:val="21"/>
          <w:szCs w:val="21"/>
          <w:highlight w:val="none"/>
        </w:rPr>
        <w:t>准</w:t>
      </w:r>
    </w:p>
    <w:p w14:paraId="082D23CB">
      <w:pPr>
        <w:pStyle w:val="2"/>
        <w:tabs>
          <w:tab w:val="left" w:pos="2034"/>
        </w:tabs>
        <w:spacing w:before="158" w:line="360" w:lineRule="auto"/>
        <w:ind w:left="1074" w:right="5169"/>
        <w:rPr>
          <w:sz w:val="21"/>
          <w:szCs w:val="21"/>
          <w:highlight w:val="none"/>
        </w:rPr>
      </w:pPr>
      <w:r>
        <w:rPr>
          <w:sz w:val="21"/>
          <w:szCs w:val="21"/>
          <w:highlight w:val="none"/>
        </w:rPr>
        <w:t>第五章</w:t>
      </w:r>
      <w:r>
        <w:rPr>
          <w:sz w:val="21"/>
          <w:szCs w:val="21"/>
          <w:highlight w:val="none"/>
        </w:rPr>
        <w:tab/>
      </w:r>
      <w:r>
        <w:rPr>
          <w:rFonts w:hint="eastAsia"/>
          <w:sz w:val="21"/>
          <w:szCs w:val="21"/>
          <w:highlight w:val="none"/>
        </w:rPr>
        <w:t>采购</w:t>
      </w:r>
      <w:r>
        <w:rPr>
          <w:sz w:val="21"/>
          <w:szCs w:val="21"/>
          <w:highlight w:val="none"/>
        </w:rPr>
        <w:t>合同</w:t>
      </w:r>
    </w:p>
    <w:p w14:paraId="3AE7A800">
      <w:pPr>
        <w:pStyle w:val="2"/>
        <w:tabs>
          <w:tab w:val="left" w:pos="2034"/>
        </w:tabs>
        <w:spacing w:before="158" w:line="360" w:lineRule="auto"/>
        <w:ind w:left="1074" w:right="5169"/>
        <w:rPr>
          <w:sz w:val="21"/>
          <w:szCs w:val="21"/>
          <w:highlight w:val="none"/>
        </w:rPr>
      </w:pPr>
      <w:r>
        <w:rPr>
          <w:sz w:val="21"/>
          <w:szCs w:val="21"/>
          <w:highlight w:val="none"/>
        </w:rPr>
        <w:t xml:space="preserve"> 第六章</w:t>
      </w:r>
      <w:r>
        <w:rPr>
          <w:sz w:val="21"/>
          <w:szCs w:val="21"/>
          <w:highlight w:val="none"/>
        </w:rPr>
        <w:tab/>
      </w:r>
      <w:r>
        <w:rPr>
          <w:sz w:val="21"/>
          <w:szCs w:val="21"/>
          <w:highlight w:val="none"/>
        </w:rPr>
        <w:t>响应文件格式</w:t>
      </w:r>
    </w:p>
    <w:p w14:paraId="34894C0C">
      <w:pPr>
        <w:pStyle w:val="27"/>
        <w:numPr>
          <w:ilvl w:val="1"/>
          <w:numId w:val="5"/>
        </w:numPr>
        <w:tabs>
          <w:tab w:val="left" w:pos="1097"/>
        </w:tabs>
        <w:spacing w:before="161" w:line="360" w:lineRule="auto"/>
        <w:ind w:left="1096" w:hanging="428"/>
        <w:rPr>
          <w:sz w:val="21"/>
          <w:szCs w:val="21"/>
          <w:highlight w:val="none"/>
        </w:rPr>
      </w:pPr>
      <w:r>
        <w:rPr>
          <w:sz w:val="21"/>
          <w:szCs w:val="21"/>
          <w:highlight w:val="none"/>
        </w:rPr>
        <w:t>磋商文件中有不一致的，有澄清的部分以最终的澄清更正内容为准。</w:t>
      </w:r>
    </w:p>
    <w:p w14:paraId="2071795D">
      <w:pPr>
        <w:pStyle w:val="27"/>
        <w:numPr>
          <w:ilvl w:val="1"/>
          <w:numId w:val="5"/>
        </w:numPr>
        <w:tabs>
          <w:tab w:val="left" w:pos="1097"/>
        </w:tabs>
        <w:spacing w:before="161" w:line="360" w:lineRule="auto"/>
        <w:ind w:left="1096" w:hanging="428"/>
        <w:rPr>
          <w:sz w:val="21"/>
          <w:szCs w:val="21"/>
          <w:highlight w:val="none"/>
        </w:rPr>
      </w:pPr>
      <w:r>
        <w:rPr>
          <w:sz w:val="21"/>
          <w:szCs w:val="21"/>
          <w:highlight w:val="none"/>
          <w:lang w:val="en-US"/>
        </w:rPr>
        <mc:AlternateContent>
          <mc:Choice Requires="wps">
            <w:drawing>
              <wp:anchor distT="0" distB="0" distL="114300" distR="114300" simplePos="0" relativeHeight="251660288" behindDoc="0" locked="0" layoutInCell="1" allowOverlap="1">
                <wp:simplePos x="0" y="0"/>
                <wp:positionH relativeFrom="page">
                  <wp:posOffset>3219450</wp:posOffset>
                </wp:positionH>
                <wp:positionV relativeFrom="paragraph">
                  <wp:posOffset>278765</wp:posOffset>
                </wp:positionV>
                <wp:extent cx="12192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wps:spPr>
                      <wps:bodyPr/>
                    </wps:wsp>
                  </a:graphicData>
                </a:graphic>
              </wp:anchor>
            </w:drawing>
          </mc:Choice>
          <mc:Fallback>
            <w:pict>
              <v:line id="_x0000_s1026" o:spid="_x0000_s1026" o:spt="20" style="position:absolute;left:0pt;margin-left:253.5pt;margin-top:21.95pt;height:0pt;width:96pt;mso-position-horizontal-relative:page;z-index:251660288;mso-width-relative:page;mso-height-relative:page;" filled="f" stroked="t" coordsize="21600,21600" o:gfxdata="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0&#10;kBxf1wAAAAkBAAAPAAAAAAAAAAEAIAAAACIAAABkcnMvZG93bnJldi54bWxQSwECFAAUAAAACACH&#10;TuJA6JwGWewBAADDAwAADgAAAAAAAAABACAAAAAmAQAAZHJzL2Uyb0RvYy54bWxQSwUGAAAAAAYA&#10;BgBZAQAAhAUAAAAA&#10;">
                <v:fill on="f" focussize="0,0"/>
                <v:stroke weight="0.6pt" color="#000000" joinstyle="round"/>
                <v:imagedata o:title=""/>
                <o:lock v:ext="edit" aspectratio="f"/>
              </v:line>
            </w:pict>
          </mc:Fallback>
        </mc:AlternateContent>
      </w:r>
      <w:r>
        <w:rPr>
          <w:sz w:val="21"/>
          <w:szCs w:val="21"/>
          <w:highlight w:val="none"/>
        </w:rPr>
        <w:t>现场考察及相关事项见供应商须知前附表。</w:t>
      </w:r>
    </w:p>
    <w:p w14:paraId="731E85D3">
      <w:pPr>
        <w:pStyle w:val="27"/>
        <w:numPr>
          <w:ilvl w:val="1"/>
          <w:numId w:val="5"/>
        </w:numPr>
        <w:tabs>
          <w:tab w:val="left" w:pos="1097"/>
        </w:tabs>
        <w:spacing w:before="161" w:line="360" w:lineRule="auto"/>
        <w:ind w:left="1096" w:hanging="428"/>
        <w:rPr>
          <w:sz w:val="21"/>
          <w:szCs w:val="21"/>
          <w:highlight w:val="none"/>
        </w:rPr>
      </w:pPr>
      <w:r>
        <w:rPr>
          <w:sz w:val="21"/>
          <w:szCs w:val="21"/>
          <w:highlight w:val="none"/>
        </w:rPr>
        <w:t>供应商应认真阅读磋商文件所有的事项、格式、条款和技术规范等。</w:t>
      </w:r>
    </w:p>
    <w:p w14:paraId="63AB15B6">
      <w:pPr>
        <w:pStyle w:val="6"/>
        <w:numPr>
          <w:ilvl w:val="0"/>
          <w:numId w:val="5"/>
        </w:numPr>
        <w:rPr>
          <w:highlight w:val="none"/>
          <w:lang w:val="zh-CN"/>
        </w:rPr>
      </w:pPr>
      <w:r>
        <w:rPr>
          <w:highlight w:val="none"/>
          <w:lang w:val="zh-CN"/>
        </w:rPr>
        <w:t>磋商文件的澄清与修改</w:t>
      </w:r>
    </w:p>
    <w:p w14:paraId="618B13D4">
      <w:pPr>
        <w:pStyle w:val="27"/>
        <w:numPr>
          <w:ilvl w:val="1"/>
          <w:numId w:val="5"/>
        </w:numPr>
        <w:tabs>
          <w:tab w:val="left" w:pos="1097"/>
        </w:tabs>
        <w:spacing w:before="161" w:line="360" w:lineRule="auto"/>
        <w:ind w:left="1096" w:hanging="428"/>
        <w:rPr>
          <w:sz w:val="21"/>
          <w:szCs w:val="21"/>
          <w:highlight w:val="none"/>
        </w:rPr>
      </w:pPr>
      <w:r>
        <w:rPr>
          <w:rFonts w:hint="eastAsia"/>
          <w:sz w:val="21"/>
          <w:szCs w:val="21"/>
          <w:highlight w:val="none"/>
        </w:rPr>
        <w:t>供应商质疑截止时间：见供应商须知前附表</w:t>
      </w:r>
      <w:r>
        <w:rPr>
          <w:sz w:val="21"/>
          <w:szCs w:val="21"/>
          <w:highlight w:val="none"/>
        </w:rPr>
        <w:t>。</w:t>
      </w:r>
    </w:p>
    <w:p w14:paraId="7DD7AA52">
      <w:pPr>
        <w:pStyle w:val="6"/>
        <w:numPr>
          <w:ilvl w:val="0"/>
          <w:numId w:val="5"/>
        </w:numPr>
        <w:rPr>
          <w:highlight w:val="none"/>
          <w:lang w:val="zh-CN"/>
        </w:rPr>
      </w:pPr>
      <w:r>
        <w:rPr>
          <w:highlight w:val="none"/>
          <w:lang w:val="zh-CN"/>
        </w:rPr>
        <w:t>磋商范围及响应文件中标准和计量单位的使用</w:t>
      </w:r>
    </w:p>
    <w:p w14:paraId="63763938">
      <w:pPr>
        <w:pStyle w:val="27"/>
        <w:numPr>
          <w:ilvl w:val="1"/>
          <w:numId w:val="5"/>
        </w:numPr>
        <w:tabs>
          <w:tab w:val="left" w:pos="1097"/>
        </w:tabs>
        <w:spacing w:before="161" w:line="360" w:lineRule="auto"/>
        <w:ind w:left="1096" w:hanging="428"/>
        <w:rPr>
          <w:sz w:val="21"/>
          <w:szCs w:val="21"/>
          <w:highlight w:val="none"/>
        </w:rPr>
      </w:pPr>
      <w:r>
        <w:rPr>
          <w:rFonts w:hint="eastAsia"/>
          <w:sz w:val="21"/>
          <w:szCs w:val="21"/>
          <w:highlight w:val="none"/>
        </w:rPr>
        <w:t>项目有分包的，供应商可参与其中某一个或多个分包的磋商，成交包数详见供应商须知前附表中规定。</w:t>
      </w:r>
    </w:p>
    <w:p w14:paraId="5F8F1678">
      <w:pPr>
        <w:pStyle w:val="27"/>
        <w:numPr>
          <w:ilvl w:val="1"/>
          <w:numId w:val="5"/>
        </w:numPr>
        <w:tabs>
          <w:tab w:val="left" w:pos="1097"/>
        </w:tabs>
        <w:spacing w:before="161" w:line="360" w:lineRule="auto"/>
        <w:ind w:left="1096" w:hanging="428"/>
        <w:rPr>
          <w:sz w:val="21"/>
          <w:szCs w:val="21"/>
          <w:highlight w:val="none"/>
        </w:rPr>
      </w:pPr>
      <w:r>
        <w:rPr>
          <w:rFonts w:hint="eastAsia"/>
          <w:sz w:val="21"/>
          <w:szCs w:val="21"/>
          <w:highlight w:val="none"/>
        </w:rPr>
        <w:t>无论磋商文件中是否要求，供应商所投服务及伴随的货物和工程均应符合国家强制性标准。</w:t>
      </w:r>
    </w:p>
    <w:p w14:paraId="0A1D5879">
      <w:pPr>
        <w:pStyle w:val="27"/>
        <w:numPr>
          <w:ilvl w:val="1"/>
          <w:numId w:val="5"/>
        </w:numPr>
        <w:tabs>
          <w:tab w:val="left" w:pos="1097"/>
        </w:tabs>
        <w:spacing w:before="161" w:line="360" w:lineRule="auto"/>
        <w:ind w:left="1096" w:hanging="428"/>
        <w:rPr>
          <w:sz w:val="21"/>
          <w:szCs w:val="21"/>
          <w:highlight w:val="none"/>
        </w:rPr>
      </w:pPr>
      <w:r>
        <w:rPr>
          <w:rFonts w:hint="eastAsia"/>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64FFE4AA">
      <w:pPr>
        <w:pStyle w:val="27"/>
        <w:numPr>
          <w:ilvl w:val="1"/>
          <w:numId w:val="5"/>
        </w:numPr>
        <w:tabs>
          <w:tab w:val="left" w:pos="1097"/>
        </w:tabs>
        <w:spacing w:before="161" w:line="360" w:lineRule="auto"/>
        <w:ind w:left="1096" w:hanging="428"/>
        <w:rPr>
          <w:sz w:val="21"/>
          <w:szCs w:val="21"/>
          <w:highlight w:val="none"/>
        </w:rPr>
      </w:pPr>
      <w:r>
        <w:rPr>
          <w:rFonts w:hint="eastAsia"/>
          <w:sz w:val="21"/>
          <w:szCs w:val="21"/>
          <w:highlight w:val="none"/>
        </w:rPr>
        <w:t>除磋商文件中有特殊要求外，响应文件中所使用的计量单位，应采用中华人民共和国法定计量单位。</w:t>
      </w:r>
    </w:p>
    <w:p w14:paraId="584D538A">
      <w:pPr>
        <w:pStyle w:val="6"/>
        <w:numPr>
          <w:ilvl w:val="0"/>
          <w:numId w:val="6"/>
        </w:numPr>
        <w:rPr>
          <w:highlight w:val="none"/>
        </w:rPr>
      </w:pPr>
      <w:r>
        <w:rPr>
          <w:highlight w:val="none"/>
        </w:rPr>
        <w:t>响应文件构成</w:t>
      </w:r>
    </w:p>
    <w:p w14:paraId="067C08FA">
      <w:pPr>
        <w:pStyle w:val="27"/>
        <w:numPr>
          <w:ilvl w:val="1"/>
          <w:numId w:val="6"/>
        </w:numPr>
        <w:tabs>
          <w:tab w:val="left" w:pos="1195"/>
        </w:tabs>
        <w:spacing w:before="159" w:line="360" w:lineRule="auto"/>
        <w:ind w:right="249" w:firstLine="436"/>
        <w:rPr>
          <w:sz w:val="21"/>
          <w:szCs w:val="21"/>
          <w:highlight w:val="none"/>
        </w:rPr>
      </w:pPr>
      <w:r>
        <w:rPr>
          <w:spacing w:val="-1"/>
          <w:sz w:val="21"/>
          <w:szCs w:val="21"/>
          <w:highlight w:val="none"/>
        </w:rPr>
        <w:t xml:space="preserve">供应商应完整地按磋商文件提供的响应文件格式及要求编写响应文件， </w:t>
      </w:r>
      <w:r>
        <w:rPr>
          <w:sz w:val="21"/>
          <w:szCs w:val="21"/>
          <w:highlight w:val="none"/>
        </w:rPr>
        <w:t>具体内容详见第六章响应文件格式的相关内容。</w:t>
      </w:r>
    </w:p>
    <w:p w14:paraId="65B855E9">
      <w:pPr>
        <w:pStyle w:val="27"/>
        <w:numPr>
          <w:ilvl w:val="1"/>
          <w:numId w:val="6"/>
        </w:numPr>
        <w:tabs>
          <w:tab w:val="left" w:pos="1195"/>
        </w:tabs>
        <w:spacing w:before="159" w:line="360" w:lineRule="auto"/>
        <w:ind w:right="249" w:firstLine="436"/>
        <w:rPr>
          <w:spacing w:val="-1"/>
          <w:sz w:val="21"/>
          <w:szCs w:val="21"/>
          <w:highlight w:val="none"/>
        </w:rPr>
      </w:pPr>
      <w:r>
        <w:rPr>
          <w:spacing w:val="-1"/>
          <w:sz w:val="21"/>
          <w:szCs w:val="21"/>
          <w:highlight w:val="none"/>
        </w:rPr>
        <w:t>上述文件应按照磋商文件规定的格式填写、签署和盖章。</w:t>
      </w:r>
    </w:p>
    <w:p w14:paraId="2C0AAB1C">
      <w:pPr>
        <w:pStyle w:val="6"/>
        <w:numPr>
          <w:ilvl w:val="0"/>
          <w:numId w:val="6"/>
        </w:numPr>
        <w:rPr>
          <w:rFonts w:eastAsia="宋体" w:cs="Times New Roman"/>
          <w:highlight w:val="none"/>
        </w:rPr>
      </w:pPr>
      <w:r>
        <w:rPr>
          <w:rFonts w:eastAsia="宋体" w:cs="Times New Roman"/>
          <w:highlight w:val="none"/>
        </w:rPr>
        <w:t>证明标的的合格性和符合磋商文件规定的响应文件</w:t>
      </w:r>
    </w:p>
    <w:p w14:paraId="4697561E">
      <w:pPr>
        <w:pStyle w:val="27"/>
        <w:numPr>
          <w:ilvl w:val="1"/>
          <w:numId w:val="6"/>
        </w:numPr>
        <w:tabs>
          <w:tab w:val="left" w:pos="1195"/>
        </w:tabs>
        <w:spacing w:before="159" w:line="360" w:lineRule="auto"/>
        <w:ind w:right="249" w:firstLine="436"/>
        <w:rPr>
          <w:spacing w:val="-1"/>
          <w:sz w:val="21"/>
          <w:szCs w:val="21"/>
          <w:highlight w:val="none"/>
        </w:rPr>
      </w:pPr>
      <w:r>
        <w:rPr>
          <w:spacing w:val="-1"/>
          <w:sz w:val="21"/>
          <w:szCs w:val="21"/>
          <w:highlight w:val="none"/>
        </w:rPr>
        <w:t>供应商应提交磋商文件要求的证明文件，证明其响应内容符合磋商文件规定。该证明文件是响应文件的一部分。</w:t>
      </w:r>
    </w:p>
    <w:p w14:paraId="2D81489F">
      <w:pPr>
        <w:pStyle w:val="27"/>
        <w:numPr>
          <w:ilvl w:val="1"/>
          <w:numId w:val="6"/>
        </w:numPr>
        <w:tabs>
          <w:tab w:val="left" w:pos="1195"/>
        </w:tabs>
        <w:spacing w:before="159" w:line="360" w:lineRule="auto"/>
        <w:ind w:right="249" w:firstLine="436"/>
        <w:rPr>
          <w:spacing w:val="-1"/>
          <w:sz w:val="21"/>
          <w:szCs w:val="21"/>
          <w:highlight w:val="none"/>
        </w:rPr>
      </w:pPr>
      <w:r>
        <w:rPr>
          <w:spacing w:val="-1"/>
          <w:sz w:val="21"/>
          <w:szCs w:val="21"/>
          <w:highlight w:val="none"/>
        </w:rPr>
        <w:t>上款所述的证明文件，可以是文字资料、图纸和数据。</w:t>
      </w:r>
    </w:p>
    <w:p w14:paraId="6C7099C6">
      <w:pPr>
        <w:pStyle w:val="27"/>
        <w:numPr>
          <w:ilvl w:val="1"/>
          <w:numId w:val="6"/>
        </w:numPr>
        <w:tabs>
          <w:tab w:val="left" w:pos="1195"/>
        </w:tabs>
        <w:spacing w:before="159" w:line="360" w:lineRule="auto"/>
        <w:ind w:right="249" w:firstLine="436"/>
        <w:rPr>
          <w:spacing w:val="-1"/>
          <w:sz w:val="21"/>
          <w:szCs w:val="21"/>
          <w:highlight w:val="none"/>
        </w:rPr>
      </w:pPr>
      <w:r>
        <w:rPr>
          <w:spacing w:val="-1"/>
          <w:sz w:val="21"/>
          <w:szCs w:val="21"/>
          <w:highlight w:val="none"/>
        </w:rPr>
        <w:t>本条所指证明文件不包括对磋商文件相关部分的文字、图标的复制。</w:t>
      </w:r>
    </w:p>
    <w:p w14:paraId="4B8CA38C">
      <w:pPr>
        <w:pStyle w:val="27"/>
        <w:numPr>
          <w:ilvl w:val="1"/>
          <w:numId w:val="6"/>
        </w:numPr>
        <w:tabs>
          <w:tab w:val="left" w:pos="1195"/>
        </w:tabs>
        <w:spacing w:before="159" w:line="360" w:lineRule="auto"/>
        <w:ind w:right="249" w:firstLine="436"/>
        <w:rPr>
          <w:sz w:val="21"/>
          <w:szCs w:val="21"/>
          <w:highlight w:val="none"/>
        </w:rPr>
      </w:pPr>
      <w:r>
        <w:rPr>
          <w:spacing w:val="-1"/>
          <w:sz w:val="21"/>
          <w:szCs w:val="21"/>
          <w:highlight w:val="none"/>
        </w:rPr>
        <w:t>为保证公平</w:t>
      </w:r>
      <w:r>
        <w:rPr>
          <w:sz w:val="21"/>
          <w:szCs w:val="21"/>
          <w:highlight w:val="none"/>
        </w:rPr>
        <w:t>公正，除非另有规定或说明，供应商对同一项目磋商时， 不得同时提供备选磋商方案。</w:t>
      </w:r>
    </w:p>
    <w:p w14:paraId="7D598315">
      <w:pPr>
        <w:pStyle w:val="6"/>
        <w:numPr>
          <w:ilvl w:val="0"/>
          <w:numId w:val="7"/>
        </w:numPr>
        <w:rPr>
          <w:highlight w:val="none"/>
        </w:rPr>
      </w:pPr>
      <w:r>
        <w:rPr>
          <w:highlight w:val="none"/>
        </w:rPr>
        <w:t>报价</w:t>
      </w:r>
    </w:p>
    <w:p w14:paraId="0C6BFC32">
      <w:pPr>
        <w:pStyle w:val="27"/>
        <w:numPr>
          <w:ilvl w:val="1"/>
          <w:numId w:val="7"/>
        </w:numPr>
        <w:tabs>
          <w:tab w:val="left" w:pos="1272"/>
        </w:tabs>
        <w:spacing w:before="158" w:line="360" w:lineRule="auto"/>
        <w:ind w:right="368" w:firstLine="434"/>
        <w:jc w:val="both"/>
        <w:rPr>
          <w:sz w:val="21"/>
          <w:szCs w:val="21"/>
          <w:highlight w:val="none"/>
        </w:rPr>
      </w:pPr>
      <w:r>
        <w:rPr>
          <w:spacing w:val="-1"/>
          <w:sz w:val="21"/>
          <w:szCs w:val="21"/>
          <w:highlight w:val="none"/>
        </w:rPr>
        <w:t xml:space="preserve">供应商的报价应当包括满足本次磋商全部采购需求所应提供的服务， </w:t>
      </w:r>
      <w:r>
        <w:rPr>
          <w:sz w:val="21"/>
          <w:szCs w:val="21"/>
          <w:highlight w:val="none"/>
        </w:rPr>
        <w:t>以及伴随的货物和工程。所有内容均应以人民币报价，供应商的磋商报价应遵</w:t>
      </w:r>
      <w:r>
        <w:rPr>
          <w:spacing w:val="-10"/>
          <w:sz w:val="21"/>
          <w:szCs w:val="21"/>
          <w:highlight w:val="none"/>
        </w:rPr>
        <w:t>守《中华人民共和国价格法》。</w:t>
      </w:r>
    </w:p>
    <w:p w14:paraId="67D6A1A1">
      <w:pPr>
        <w:pStyle w:val="27"/>
        <w:numPr>
          <w:ilvl w:val="1"/>
          <w:numId w:val="7"/>
        </w:numPr>
        <w:tabs>
          <w:tab w:val="left" w:pos="1210"/>
        </w:tabs>
        <w:spacing w:line="360" w:lineRule="auto"/>
        <w:ind w:right="369" w:firstLine="434"/>
        <w:jc w:val="both"/>
        <w:rPr>
          <w:sz w:val="21"/>
          <w:szCs w:val="21"/>
          <w:highlight w:val="none"/>
        </w:rPr>
      </w:pPr>
      <w:r>
        <w:rPr>
          <w:spacing w:val="-7"/>
          <w:sz w:val="21"/>
          <w:szCs w:val="21"/>
          <w:highlight w:val="none"/>
        </w:rPr>
        <w:t>供应商应在分项报价表上标明分项服务、伴随的货物和工程的价格</w:t>
      </w:r>
      <w:r>
        <w:rPr>
          <w:sz w:val="21"/>
          <w:szCs w:val="21"/>
          <w:highlight w:val="none"/>
        </w:rPr>
        <w:t>（</w:t>
      </w:r>
      <w:r>
        <w:rPr>
          <w:spacing w:val="-15"/>
          <w:sz w:val="21"/>
          <w:szCs w:val="21"/>
          <w:highlight w:val="none"/>
        </w:rPr>
        <w:t>如</w:t>
      </w:r>
      <w:r>
        <w:rPr>
          <w:sz w:val="21"/>
          <w:szCs w:val="21"/>
          <w:highlight w:val="none"/>
        </w:rPr>
        <w:t>适用）和总价，未标明的视同包含在磋商报价中。</w:t>
      </w:r>
    </w:p>
    <w:p w14:paraId="5D204C59">
      <w:pPr>
        <w:pStyle w:val="27"/>
        <w:numPr>
          <w:ilvl w:val="1"/>
          <w:numId w:val="7"/>
        </w:numPr>
        <w:tabs>
          <w:tab w:val="left" w:pos="1272"/>
        </w:tabs>
        <w:spacing w:before="5" w:line="360" w:lineRule="auto"/>
        <w:ind w:right="373" w:firstLine="434"/>
        <w:jc w:val="both"/>
        <w:rPr>
          <w:sz w:val="21"/>
          <w:szCs w:val="21"/>
          <w:highlight w:val="none"/>
        </w:rPr>
      </w:pPr>
      <w:r>
        <w:rPr>
          <w:spacing w:val="-1"/>
          <w:sz w:val="21"/>
          <w:szCs w:val="21"/>
          <w:highlight w:val="none"/>
        </w:rPr>
        <w:t>除非磋商文件另有规定或经采购人同意支付的，最后报价均不得高于</w:t>
      </w:r>
      <w:r>
        <w:rPr>
          <w:sz w:val="21"/>
          <w:szCs w:val="21"/>
          <w:highlight w:val="none"/>
        </w:rPr>
        <w:t>磋商文件（公告）列明的</w:t>
      </w:r>
      <w:r>
        <w:rPr>
          <w:rFonts w:hint="eastAsia"/>
          <w:sz w:val="21"/>
          <w:szCs w:val="21"/>
          <w:highlight w:val="none"/>
        </w:rPr>
        <w:t>最高限价</w:t>
      </w:r>
      <w:r>
        <w:rPr>
          <w:sz w:val="21"/>
          <w:szCs w:val="21"/>
          <w:highlight w:val="none"/>
        </w:rPr>
        <w:t>，否则其响应文件将被认定为</w:t>
      </w:r>
      <w:r>
        <w:rPr>
          <w:b/>
          <w:sz w:val="21"/>
          <w:szCs w:val="21"/>
          <w:highlight w:val="none"/>
        </w:rPr>
        <w:t>响应无效</w:t>
      </w:r>
      <w:r>
        <w:rPr>
          <w:sz w:val="21"/>
          <w:szCs w:val="21"/>
          <w:highlight w:val="none"/>
        </w:rPr>
        <w:t>。</w:t>
      </w:r>
    </w:p>
    <w:p w14:paraId="3292D15F">
      <w:pPr>
        <w:pStyle w:val="27"/>
        <w:numPr>
          <w:ilvl w:val="1"/>
          <w:numId w:val="7"/>
        </w:numPr>
        <w:tabs>
          <w:tab w:val="left" w:pos="1272"/>
        </w:tabs>
        <w:spacing w:line="360" w:lineRule="auto"/>
        <w:ind w:left="1271"/>
        <w:jc w:val="both"/>
        <w:rPr>
          <w:sz w:val="21"/>
          <w:szCs w:val="21"/>
          <w:highlight w:val="none"/>
        </w:rPr>
      </w:pPr>
      <w:r>
        <w:rPr>
          <w:sz w:val="21"/>
          <w:szCs w:val="21"/>
          <w:highlight w:val="none"/>
        </w:rPr>
        <w:t>报价在合同履行过程中是固定不变的，不得以任何理由予以变更。任</w:t>
      </w:r>
    </w:p>
    <w:p w14:paraId="0489D715">
      <w:pPr>
        <w:pStyle w:val="2"/>
        <w:spacing w:before="160" w:line="360" w:lineRule="auto"/>
        <w:ind w:left="234"/>
        <w:rPr>
          <w:sz w:val="21"/>
          <w:szCs w:val="21"/>
          <w:highlight w:val="none"/>
        </w:rPr>
      </w:pPr>
      <w:r>
        <w:rPr>
          <w:sz w:val="21"/>
          <w:szCs w:val="21"/>
          <w:highlight w:val="none"/>
        </w:rPr>
        <w:t>何包含价格调整要求的磋商，其响应文件将被认定为</w:t>
      </w:r>
      <w:r>
        <w:rPr>
          <w:b/>
          <w:sz w:val="21"/>
          <w:szCs w:val="21"/>
          <w:highlight w:val="none"/>
        </w:rPr>
        <w:t>响应无效</w:t>
      </w:r>
      <w:r>
        <w:rPr>
          <w:sz w:val="21"/>
          <w:szCs w:val="21"/>
          <w:highlight w:val="none"/>
        </w:rPr>
        <w:t>。</w:t>
      </w:r>
    </w:p>
    <w:p w14:paraId="1166DF5F">
      <w:pPr>
        <w:pStyle w:val="27"/>
        <w:tabs>
          <w:tab w:val="left" w:pos="1210"/>
        </w:tabs>
        <w:spacing w:before="56" w:line="360" w:lineRule="auto"/>
        <w:ind w:left="671" w:right="3835" w:firstLine="0"/>
        <w:rPr>
          <w:spacing w:val="-2"/>
          <w:sz w:val="21"/>
          <w:szCs w:val="21"/>
          <w:highlight w:val="none"/>
        </w:rPr>
      </w:pPr>
      <w:r>
        <w:rPr>
          <w:rFonts w:hint="eastAsia"/>
          <w:spacing w:val="-2"/>
          <w:sz w:val="21"/>
          <w:szCs w:val="21"/>
          <w:highlight w:val="none"/>
        </w:rPr>
        <w:t xml:space="preserve">12.5 </w:t>
      </w:r>
      <w:r>
        <w:rPr>
          <w:spacing w:val="-2"/>
          <w:sz w:val="21"/>
          <w:szCs w:val="21"/>
          <w:highlight w:val="none"/>
        </w:rPr>
        <w:t>采购人不接受具有附加条件的报价。</w:t>
      </w:r>
    </w:p>
    <w:p w14:paraId="2896DB4C">
      <w:pPr>
        <w:pStyle w:val="6"/>
        <w:numPr>
          <w:ilvl w:val="0"/>
          <w:numId w:val="7"/>
        </w:numPr>
        <w:rPr>
          <w:rFonts w:eastAsia="宋体" w:cs="Times New Roman"/>
          <w:highlight w:val="none"/>
        </w:rPr>
      </w:pPr>
      <w:r>
        <w:rPr>
          <w:rFonts w:eastAsia="宋体" w:cs="Times New Roman"/>
          <w:highlight w:val="none"/>
        </w:rPr>
        <w:t>磋商保证金</w:t>
      </w:r>
    </w:p>
    <w:p w14:paraId="26FA0864">
      <w:pPr>
        <w:pStyle w:val="27"/>
        <w:tabs>
          <w:tab w:val="left" w:pos="1210"/>
        </w:tabs>
        <w:spacing w:before="56" w:line="360" w:lineRule="auto"/>
        <w:ind w:left="671" w:right="3835" w:firstLine="0"/>
        <w:jc w:val="both"/>
        <w:rPr>
          <w:spacing w:val="-1"/>
          <w:sz w:val="21"/>
          <w:szCs w:val="21"/>
          <w:highlight w:val="none"/>
        </w:rPr>
      </w:pPr>
      <w:r>
        <w:rPr>
          <w:rFonts w:hint="eastAsia"/>
          <w:spacing w:val="-1"/>
          <w:sz w:val="21"/>
          <w:szCs w:val="21"/>
          <w:highlight w:val="none"/>
          <w:lang w:val="en-US"/>
        </w:rPr>
        <w:t>详见</w:t>
      </w:r>
      <w:r>
        <w:rPr>
          <w:rFonts w:hint="eastAsia"/>
          <w:spacing w:val="-1"/>
          <w:sz w:val="21"/>
          <w:szCs w:val="21"/>
          <w:highlight w:val="none"/>
        </w:rPr>
        <w:t>供应商须知前附表</w:t>
      </w:r>
    </w:p>
    <w:p w14:paraId="22AFC1BB">
      <w:pPr>
        <w:pStyle w:val="6"/>
        <w:numPr>
          <w:ilvl w:val="0"/>
          <w:numId w:val="7"/>
        </w:numPr>
        <w:rPr>
          <w:rFonts w:eastAsia="宋体" w:cs="Times New Roman"/>
          <w:highlight w:val="none"/>
        </w:rPr>
      </w:pPr>
      <w:r>
        <w:rPr>
          <w:rFonts w:eastAsia="宋体" w:cs="Times New Roman"/>
          <w:highlight w:val="none"/>
        </w:rPr>
        <w:t>磋商有效期</w:t>
      </w:r>
    </w:p>
    <w:p w14:paraId="0C3E4C06">
      <w:pPr>
        <w:pStyle w:val="27"/>
        <w:numPr>
          <w:ilvl w:val="1"/>
          <w:numId w:val="8"/>
        </w:numPr>
        <w:tabs>
          <w:tab w:val="left" w:pos="1272"/>
        </w:tabs>
        <w:spacing w:before="56" w:line="360" w:lineRule="auto"/>
        <w:ind w:right="371" w:firstLine="434"/>
        <w:jc w:val="both"/>
        <w:rPr>
          <w:sz w:val="21"/>
          <w:szCs w:val="21"/>
          <w:highlight w:val="none"/>
        </w:rPr>
      </w:pPr>
      <w:r>
        <w:rPr>
          <w:spacing w:val="-1"/>
          <w:sz w:val="21"/>
          <w:szCs w:val="21"/>
          <w:highlight w:val="none"/>
        </w:rPr>
        <w:t>磋商有效期为从响应文件提交截止之日算起的日历天数，磋商有效期</w:t>
      </w:r>
      <w:r>
        <w:rPr>
          <w:sz w:val="21"/>
          <w:szCs w:val="21"/>
          <w:highlight w:val="none"/>
        </w:rPr>
        <w:t>详见</w:t>
      </w:r>
      <w:r>
        <w:rPr>
          <w:sz w:val="21"/>
          <w:szCs w:val="21"/>
          <w:highlight w:val="none"/>
          <w:u w:val="single"/>
        </w:rPr>
        <w:t>供应商须知前附表</w:t>
      </w:r>
      <w:r>
        <w:rPr>
          <w:sz w:val="21"/>
          <w:szCs w:val="21"/>
          <w:highlight w:val="none"/>
        </w:rPr>
        <w:t>。</w:t>
      </w:r>
    </w:p>
    <w:p w14:paraId="773EDE29">
      <w:pPr>
        <w:pStyle w:val="27"/>
        <w:numPr>
          <w:ilvl w:val="1"/>
          <w:numId w:val="8"/>
        </w:numPr>
        <w:tabs>
          <w:tab w:val="left" w:pos="1272"/>
        </w:tabs>
        <w:spacing w:line="360" w:lineRule="auto"/>
        <w:ind w:right="363" w:firstLine="434"/>
        <w:jc w:val="both"/>
        <w:rPr>
          <w:sz w:val="21"/>
          <w:szCs w:val="21"/>
          <w:highlight w:val="none"/>
        </w:rPr>
      </w:pPr>
      <w:r>
        <w:rPr>
          <w:sz w:val="21"/>
          <w:szCs w:val="21"/>
          <w:highlight w:val="none"/>
        </w:rPr>
        <w:t>在磋商有效期内，供应商的磋商保持有效，供应商不得要求撤销或修改其响应文件。磋商有效期不满足要求的响应，其响应文件将被认定为</w:t>
      </w:r>
      <w:r>
        <w:rPr>
          <w:b/>
          <w:spacing w:val="4"/>
          <w:sz w:val="21"/>
          <w:szCs w:val="21"/>
          <w:highlight w:val="none"/>
        </w:rPr>
        <w:t>响应无</w:t>
      </w:r>
      <w:r>
        <w:rPr>
          <w:b/>
          <w:sz w:val="21"/>
          <w:szCs w:val="21"/>
          <w:highlight w:val="none"/>
        </w:rPr>
        <w:t>效</w:t>
      </w:r>
      <w:r>
        <w:rPr>
          <w:sz w:val="21"/>
          <w:szCs w:val="21"/>
          <w:highlight w:val="none"/>
        </w:rPr>
        <w:t>。</w:t>
      </w:r>
    </w:p>
    <w:p w14:paraId="0C8D8800">
      <w:pPr>
        <w:pStyle w:val="27"/>
        <w:numPr>
          <w:ilvl w:val="1"/>
          <w:numId w:val="8"/>
        </w:numPr>
        <w:tabs>
          <w:tab w:val="left" w:pos="1193"/>
        </w:tabs>
        <w:spacing w:line="360" w:lineRule="auto"/>
        <w:ind w:right="249" w:firstLine="434"/>
        <w:rPr>
          <w:sz w:val="21"/>
          <w:szCs w:val="21"/>
          <w:highlight w:val="none"/>
        </w:rPr>
      </w:pPr>
      <w:r>
        <w:rPr>
          <w:spacing w:val="-10"/>
          <w:sz w:val="21"/>
          <w:szCs w:val="21"/>
          <w:highlight w:val="none"/>
        </w:rPr>
        <w:t xml:space="preserve">为保证有充分时间签订合同，采购人或采购代理机构可根据实际情况， </w:t>
      </w:r>
      <w:r>
        <w:rPr>
          <w:sz w:val="21"/>
          <w:szCs w:val="21"/>
          <w:highlight w:val="none"/>
        </w:rPr>
        <w:t>在原磋商有效期截止之前，要求供应商延长磋商有效期。接受该要求的供应商</w:t>
      </w:r>
      <w:r>
        <w:rPr>
          <w:spacing w:val="-1"/>
          <w:sz w:val="21"/>
          <w:szCs w:val="21"/>
          <w:highlight w:val="none"/>
        </w:rPr>
        <w:t xml:space="preserve">将不会被要求和允许修正其响应文件。供应商可以拒绝延长磋商有效期的要求， </w:t>
      </w:r>
      <w:r>
        <w:rPr>
          <w:sz w:val="21"/>
          <w:szCs w:val="21"/>
          <w:highlight w:val="none"/>
        </w:rPr>
        <w:t>且不承担任何责任。上述要求和答复都应以书面形式提交。</w:t>
      </w:r>
    </w:p>
    <w:p w14:paraId="640EEC12">
      <w:pPr>
        <w:pStyle w:val="6"/>
        <w:numPr>
          <w:ilvl w:val="0"/>
          <w:numId w:val="9"/>
        </w:numPr>
        <w:rPr>
          <w:highlight w:val="none"/>
        </w:rPr>
      </w:pPr>
      <w:r>
        <w:rPr>
          <w:highlight w:val="none"/>
        </w:rPr>
        <w:t>响应文件的制作</w:t>
      </w:r>
    </w:p>
    <w:p w14:paraId="2D437957">
      <w:pPr>
        <w:pStyle w:val="27"/>
        <w:keepNext w:val="0"/>
        <w:keepLines w:val="0"/>
        <w:pageBreakBefore w:val="0"/>
        <w:widowControl w:val="0"/>
        <w:numPr>
          <w:ilvl w:val="1"/>
          <w:numId w:val="9"/>
        </w:numPr>
        <w:tabs>
          <w:tab w:val="left" w:pos="1210"/>
        </w:tabs>
        <w:kinsoku/>
        <w:wordWrap/>
        <w:overflowPunct/>
        <w:topLinePunct w:val="0"/>
        <w:autoSpaceDE w:val="0"/>
        <w:autoSpaceDN w:val="0"/>
        <w:bidi w:val="0"/>
        <w:adjustRightInd/>
        <w:snapToGrid/>
        <w:spacing w:line="360" w:lineRule="auto"/>
        <w:ind w:left="232" w:right="90" w:rightChars="43" w:firstLine="437"/>
        <w:textAlignment w:val="auto"/>
        <w:rPr>
          <w:spacing w:val="-8"/>
          <w:sz w:val="21"/>
          <w:szCs w:val="21"/>
          <w:highlight w:val="none"/>
        </w:rPr>
      </w:pPr>
      <w:r>
        <w:rPr>
          <w:rFonts w:hint="eastAsia"/>
          <w:spacing w:val="-8"/>
          <w:sz w:val="21"/>
          <w:szCs w:val="21"/>
          <w:highlight w:val="none"/>
        </w:rPr>
        <w:t>响应文件应按第六章“响应文件格式”进行编写，如有必要，可以增加附页，作为响应文件的组成部分。</w:t>
      </w:r>
    </w:p>
    <w:p w14:paraId="70FBA68B">
      <w:pPr>
        <w:pStyle w:val="27"/>
        <w:keepNext w:val="0"/>
        <w:keepLines w:val="0"/>
        <w:pageBreakBefore w:val="0"/>
        <w:widowControl w:val="0"/>
        <w:numPr>
          <w:ilvl w:val="1"/>
          <w:numId w:val="9"/>
        </w:numPr>
        <w:tabs>
          <w:tab w:val="left" w:pos="1210"/>
        </w:tabs>
        <w:kinsoku/>
        <w:wordWrap/>
        <w:overflowPunct/>
        <w:topLinePunct w:val="0"/>
        <w:autoSpaceDE w:val="0"/>
        <w:autoSpaceDN w:val="0"/>
        <w:bidi w:val="0"/>
        <w:adjustRightInd/>
        <w:snapToGrid/>
        <w:spacing w:line="360" w:lineRule="auto"/>
        <w:ind w:left="232" w:right="90" w:rightChars="43" w:firstLine="437"/>
        <w:textAlignment w:val="auto"/>
        <w:rPr>
          <w:spacing w:val="-8"/>
          <w:sz w:val="21"/>
          <w:szCs w:val="21"/>
          <w:highlight w:val="none"/>
        </w:rPr>
      </w:pPr>
      <w:r>
        <w:rPr>
          <w:rFonts w:hint="eastAsia"/>
          <w:spacing w:val="-8"/>
          <w:sz w:val="21"/>
          <w:szCs w:val="21"/>
          <w:highlight w:val="none"/>
        </w:rPr>
        <w:t>响应文件应当对磋商文件有关服务期、磋商有效期、质量要求、采购需求、采购范围等实质性内容作出响应。</w:t>
      </w:r>
    </w:p>
    <w:p w14:paraId="6CCE34BA">
      <w:pPr>
        <w:pStyle w:val="27"/>
        <w:keepNext w:val="0"/>
        <w:keepLines w:val="0"/>
        <w:pageBreakBefore w:val="0"/>
        <w:widowControl w:val="0"/>
        <w:numPr>
          <w:ilvl w:val="1"/>
          <w:numId w:val="9"/>
        </w:numPr>
        <w:tabs>
          <w:tab w:val="left" w:pos="1210"/>
        </w:tabs>
        <w:kinsoku/>
        <w:wordWrap/>
        <w:overflowPunct/>
        <w:topLinePunct w:val="0"/>
        <w:autoSpaceDE w:val="0"/>
        <w:autoSpaceDN w:val="0"/>
        <w:bidi w:val="0"/>
        <w:adjustRightInd/>
        <w:snapToGrid/>
        <w:spacing w:line="360" w:lineRule="auto"/>
        <w:ind w:left="232" w:right="90" w:rightChars="43" w:firstLine="437"/>
        <w:textAlignment w:val="auto"/>
        <w:rPr>
          <w:spacing w:val="-8"/>
          <w:sz w:val="21"/>
          <w:szCs w:val="21"/>
          <w:highlight w:val="none"/>
        </w:rPr>
      </w:pPr>
      <w:r>
        <w:rPr>
          <w:rFonts w:hint="eastAsia"/>
          <w:spacing w:val="-8"/>
          <w:sz w:val="21"/>
          <w:szCs w:val="21"/>
          <w:highlight w:val="none"/>
        </w:rPr>
        <w:t>响应文件应打印，并由供应商的法定代表人或其委托代理人签字或盖章并加盖单位章。委托代理人签字的，响应文件应附法定代表人签署的授权委托书。</w:t>
      </w:r>
    </w:p>
    <w:p w14:paraId="02A4B3D1">
      <w:pPr>
        <w:pStyle w:val="27"/>
        <w:keepNext w:val="0"/>
        <w:keepLines w:val="0"/>
        <w:pageBreakBefore w:val="0"/>
        <w:widowControl w:val="0"/>
        <w:numPr>
          <w:ilvl w:val="1"/>
          <w:numId w:val="9"/>
        </w:numPr>
        <w:tabs>
          <w:tab w:val="left" w:pos="1210"/>
        </w:tabs>
        <w:kinsoku/>
        <w:wordWrap/>
        <w:overflowPunct/>
        <w:topLinePunct w:val="0"/>
        <w:autoSpaceDE w:val="0"/>
        <w:autoSpaceDN w:val="0"/>
        <w:bidi w:val="0"/>
        <w:adjustRightInd/>
        <w:snapToGrid/>
        <w:spacing w:line="360" w:lineRule="auto"/>
        <w:ind w:left="232" w:right="90" w:rightChars="43" w:firstLine="437"/>
        <w:textAlignment w:val="auto"/>
        <w:rPr>
          <w:spacing w:val="-8"/>
          <w:sz w:val="21"/>
          <w:szCs w:val="21"/>
          <w:highlight w:val="none"/>
        </w:rPr>
      </w:pPr>
      <w:r>
        <w:rPr>
          <w:rFonts w:hint="eastAsia"/>
          <w:spacing w:val="-8"/>
          <w:sz w:val="21"/>
          <w:szCs w:val="21"/>
          <w:highlight w:val="none"/>
        </w:rPr>
        <w:t>响应文件的内容：详见第六章“响应文件格式”</w:t>
      </w:r>
    </w:p>
    <w:p w14:paraId="68DC9BA4">
      <w:pPr>
        <w:pStyle w:val="27"/>
        <w:keepNext w:val="0"/>
        <w:keepLines w:val="0"/>
        <w:pageBreakBefore w:val="0"/>
        <w:widowControl w:val="0"/>
        <w:numPr>
          <w:ilvl w:val="1"/>
          <w:numId w:val="9"/>
        </w:numPr>
        <w:tabs>
          <w:tab w:val="left" w:pos="1210"/>
        </w:tabs>
        <w:kinsoku/>
        <w:wordWrap/>
        <w:overflowPunct/>
        <w:topLinePunct w:val="0"/>
        <w:autoSpaceDE w:val="0"/>
        <w:autoSpaceDN w:val="0"/>
        <w:bidi w:val="0"/>
        <w:adjustRightInd/>
        <w:snapToGrid/>
        <w:spacing w:line="360" w:lineRule="auto"/>
        <w:ind w:left="232" w:right="90" w:rightChars="43" w:firstLine="437"/>
        <w:textAlignment w:val="auto"/>
        <w:rPr>
          <w:spacing w:val="-8"/>
          <w:sz w:val="21"/>
          <w:szCs w:val="21"/>
          <w:highlight w:val="none"/>
        </w:rPr>
      </w:pPr>
      <w:r>
        <w:rPr>
          <w:rFonts w:hint="eastAsia"/>
          <w:spacing w:val="-8"/>
          <w:sz w:val="21"/>
          <w:szCs w:val="21"/>
          <w:highlight w:val="none"/>
        </w:rPr>
        <w:t>响应文件正本一份,副本数量见供应商须知前附表。正本和副本的封面上应清楚地标记“正本”或“副本”的字样。当副本和正本不一致时，以正本为准。</w:t>
      </w:r>
    </w:p>
    <w:p w14:paraId="282D5675">
      <w:pPr>
        <w:pStyle w:val="27"/>
        <w:keepNext w:val="0"/>
        <w:keepLines w:val="0"/>
        <w:pageBreakBefore w:val="0"/>
        <w:widowControl w:val="0"/>
        <w:numPr>
          <w:ilvl w:val="1"/>
          <w:numId w:val="9"/>
        </w:numPr>
        <w:tabs>
          <w:tab w:val="left" w:pos="1210"/>
        </w:tabs>
        <w:kinsoku/>
        <w:wordWrap/>
        <w:overflowPunct/>
        <w:topLinePunct w:val="0"/>
        <w:autoSpaceDE w:val="0"/>
        <w:autoSpaceDN w:val="0"/>
        <w:bidi w:val="0"/>
        <w:adjustRightInd/>
        <w:snapToGrid/>
        <w:spacing w:line="360" w:lineRule="auto"/>
        <w:ind w:left="232" w:right="90" w:rightChars="43" w:firstLine="437"/>
        <w:jc w:val="both"/>
        <w:textAlignment w:val="auto"/>
        <w:rPr>
          <w:sz w:val="21"/>
          <w:szCs w:val="21"/>
          <w:highlight w:val="none"/>
        </w:rPr>
      </w:pPr>
      <w:r>
        <w:rPr>
          <w:rFonts w:hint="eastAsia"/>
          <w:spacing w:val="-8"/>
          <w:sz w:val="21"/>
          <w:szCs w:val="21"/>
          <w:highlight w:val="none"/>
        </w:rPr>
        <w:t>响应文件的正本与副本应分别装订成册，具体装订要求见供应商须知前附表规定。磋商现场提交的其他材料要求详见供应商须知前附表。</w:t>
      </w:r>
    </w:p>
    <w:p w14:paraId="50D0708E">
      <w:pPr>
        <w:pStyle w:val="6"/>
        <w:numPr>
          <w:ilvl w:val="0"/>
          <w:numId w:val="9"/>
        </w:numPr>
        <w:rPr>
          <w:highlight w:val="none"/>
        </w:rPr>
      </w:pPr>
      <w:r>
        <w:rPr>
          <w:highlight w:val="none"/>
        </w:rPr>
        <w:t>响应文件提交截止时间</w:t>
      </w:r>
    </w:p>
    <w:p w14:paraId="3EAA0E82">
      <w:pPr>
        <w:pStyle w:val="27"/>
        <w:numPr>
          <w:ilvl w:val="1"/>
          <w:numId w:val="9"/>
        </w:numPr>
        <w:tabs>
          <w:tab w:val="left" w:pos="1272"/>
        </w:tabs>
        <w:spacing w:before="161" w:line="360" w:lineRule="auto"/>
        <w:ind w:left="234" w:right="369" w:firstLine="434"/>
        <w:rPr>
          <w:sz w:val="21"/>
          <w:szCs w:val="21"/>
          <w:highlight w:val="none"/>
        </w:rPr>
      </w:pPr>
      <w:r>
        <w:rPr>
          <w:sz w:val="21"/>
          <w:szCs w:val="21"/>
          <w:highlight w:val="none"/>
        </w:rPr>
        <w:t>供应商应在</w:t>
      </w:r>
      <w:r>
        <w:rPr>
          <w:sz w:val="21"/>
          <w:szCs w:val="21"/>
          <w:highlight w:val="none"/>
          <w:u w:val="single"/>
        </w:rPr>
        <w:t>供应商须知前附表</w:t>
      </w:r>
      <w:r>
        <w:rPr>
          <w:spacing w:val="-1"/>
          <w:sz w:val="21"/>
          <w:szCs w:val="21"/>
          <w:highlight w:val="none"/>
        </w:rPr>
        <w:t>中规定的响应文件提交截止时间前，</w:t>
      </w:r>
      <w:r>
        <w:rPr>
          <w:sz w:val="21"/>
          <w:szCs w:val="21"/>
          <w:highlight w:val="none"/>
        </w:rPr>
        <w:t>提交响应文件。</w:t>
      </w:r>
    </w:p>
    <w:p w14:paraId="15022967">
      <w:pPr>
        <w:pStyle w:val="6"/>
        <w:numPr>
          <w:ilvl w:val="0"/>
          <w:numId w:val="9"/>
        </w:numPr>
        <w:rPr>
          <w:highlight w:val="none"/>
        </w:rPr>
      </w:pPr>
      <w:r>
        <w:rPr>
          <w:highlight w:val="none"/>
        </w:rPr>
        <w:t>响应文件的提交、修改与撤回</w:t>
      </w:r>
    </w:p>
    <w:p w14:paraId="0E22EB09">
      <w:pPr>
        <w:pStyle w:val="27"/>
        <w:numPr>
          <w:ilvl w:val="1"/>
          <w:numId w:val="9"/>
        </w:numPr>
        <w:tabs>
          <w:tab w:val="left" w:pos="1210"/>
        </w:tabs>
        <w:spacing w:before="161" w:line="360" w:lineRule="auto"/>
        <w:ind w:left="234" w:right="368" w:firstLine="434"/>
        <w:jc w:val="both"/>
        <w:rPr>
          <w:sz w:val="21"/>
          <w:szCs w:val="21"/>
          <w:highlight w:val="none"/>
        </w:rPr>
      </w:pPr>
      <w:r>
        <w:rPr>
          <w:spacing w:val="-2"/>
          <w:sz w:val="21"/>
          <w:szCs w:val="21"/>
          <w:highlight w:val="none"/>
        </w:rPr>
        <w:t>供应商应当在第一章“磋商公告</w:t>
      </w:r>
      <w:r>
        <w:rPr>
          <w:sz w:val="21"/>
          <w:szCs w:val="21"/>
          <w:highlight w:val="none"/>
        </w:rPr>
        <w:t>（磋商邀请</w:t>
      </w:r>
      <w:r>
        <w:rPr>
          <w:spacing w:val="-120"/>
          <w:sz w:val="21"/>
          <w:szCs w:val="21"/>
          <w:highlight w:val="none"/>
        </w:rPr>
        <w:t>）</w:t>
      </w:r>
      <w:r>
        <w:rPr>
          <w:spacing w:val="-4"/>
          <w:sz w:val="21"/>
          <w:szCs w:val="21"/>
          <w:highlight w:val="none"/>
        </w:rPr>
        <w:t>”规定的响应文件提交截</w:t>
      </w:r>
      <w:r>
        <w:rPr>
          <w:sz w:val="21"/>
          <w:szCs w:val="21"/>
          <w:highlight w:val="none"/>
        </w:rPr>
        <w:t>止时间前，</w:t>
      </w:r>
      <w:r>
        <w:rPr>
          <w:rFonts w:hint="eastAsia"/>
          <w:sz w:val="21"/>
          <w:szCs w:val="21"/>
          <w:highlight w:val="none"/>
        </w:rPr>
        <w:t>提交响应文件</w:t>
      </w:r>
      <w:r>
        <w:rPr>
          <w:sz w:val="21"/>
          <w:szCs w:val="21"/>
          <w:highlight w:val="none"/>
        </w:rPr>
        <w:t>。</w:t>
      </w:r>
    </w:p>
    <w:p w14:paraId="73DDA2DC">
      <w:pPr>
        <w:pStyle w:val="27"/>
        <w:numPr>
          <w:ilvl w:val="1"/>
          <w:numId w:val="9"/>
        </w:numPr>
        <w:tabs>
          <w:tab w:val="left" w:pos="1272"/>
        </w:tabs>
        <w:spacing w:before="5" w:line="360" w:lineRule="auto"/>
        <w:ind w:left="234" w:right="369" w:firstLine="434"/>
        <w:jc w:val="both"/>
        <w:rPr>
          <w:sz w:val="21"/>
          <w:szCs w:val="21"/>
          <w:highlight w:val="none"/>
        </w:rPr>
      </w:pPr>
      <w:r>
        <w:rPr>
          <w:sz w:val="21"/>
          <w:szCs w:val="21"/>
          <w:highlight w:val="none"/>
        </w:rPr>
        <w:t>供应商应当在响应文件提交截止时间前完成响应文件的提交</w:t>
      </w:r>
      <w:r>
        <w:rPr>
          <w:spacing w:val="-1"/>
          <w:sz w:val="21"/>
          <w:szCs w:val="21"/>
          <w:highlight w:val="none"/>
        </w:rPr>
        <w:t>并可以补充、修改或者撤回响应文件</w:t>
      </w:r>
      <w:r>
        <w:rPr>
          <w:sz w:val="21"/>
          <w:szCs w:val="21"/>
          <w:highlight w:val="none"/>
        </w:rPr>
        <w:t>。未按规定加密或响应文件提交截止时间后送达的响应文件，应当拒收。</w:t>
      </w:r>
    </w:p>
    <w:p w14:paraId="6E7C7ACB">
      <w:pPr>
        <w:pStyle w:val="27"/>
        <w:numPr>
          <w:ilvl w:val="1"/>
          <w:numId w:val="9"/>
        </w:numPr>
        <w:tabs>
          <w:tab w:val="left" w:pos="1193"/>
        </w:tabs>
        <w:spacing w:line="360" w:lineRule="auto"/>
        <w:ind w:left="234" w:right="371" w:firstLine="434"/>
        <w:jc w:val="both"/>
        <w:rPr>
          <w:sz w:val="21"/>
          <w:szCs w:val="21"/>
          <w:highlight w:val="none"/>
        </w:rPr>
      </w:pPr>
      <w:r>
        <w:rPr>
          <w:spacing w:val="-10"/>
          <w:sz w:val="21"/>
          <w:szCs w:val="21"/>
          <w:highlight w:val="none"/>
        </w:rPr>
        <w:t>在响应文件提交截止时间之后，供应商不得对其响应文件做任何修改。</w:t>
      </w:r>
      <w:r>
        <w:rPr>
          <w:sz w:val="21"/>
          <w:szCs w:val="21"/>
          <w:highlight w:val="none"/>
        </w:rPr>
        <w:t>但属于磋商小组在评审中发现的计算错误并进行核实的修改、按照磋商文件的变动情况和磋商小组的要求重新提交响应文件的，不在此列。</w:t>
      </w:r>
    </w:p>
    <w:p w14:paraId="573934F1">
      <w:pPr>
        <w:pStyle w:val="6"/>
        <w:numPr>
          <w:ilvl w:val="0"/>
          <w:numId w:val="9"/>
        </w:numPr>
        <w:rPr>
          <w:highlight w:val="none"/>
        </w:rPr>
      </w:pPr>
      <w:r>
        <w:rPr>
          <w:highlight w:val="none"/>
        </w:rPr>
        <w:t>磋商小组</w:t>
      </w:r>
    </w:p>
    <w:p w14:paraId="494E0853">
      <w:pPr>
        <w:pStyle w:val="27"/>
        <w:numPr>
          <w:ilvl w:val="1"/>
          <w:numId w:val="9"/>
        </w:numPr>
        <w:tabs>
          <w:tab w:val="left" w:pos="1243"/>
        </w:tabs>
        <w:spacing w:before="158" w:line="360" w:lineRule="auto"/>
        <w:ind w:left="234" w:right="368" w:firstLine="434"/>
        <w:rPr>
          <w:sz w:val="21"/>
          <w:szCs w:val="21"/>
          <w:highlight w:val="none"/>
        </w:rPr>
      </w:pPr>
      <w:r>
        <w:rPr>
          <w:spacing w:val="-2"/>
          <w:sz w:val="21"/>
          <w:szCs w:val="21"/>
          <w:highlight w:val="none"/>
        </w:rPr>
        <w:t xml:space="preserve">本项目将依法组建磋商小组，磋商小组成员由 </w:t>
      </w:r>
      <w:r>
        <w:rPr>
          <w:sz w:val="21"/>
          <w:szCs w:val="21"/>
          <w:highlight w:val="none"/>
        </w:rPr>
        <w:t>3</w:t>
      </w:r>
      <w:r>
        <w:rPr>
          <w:spacing w:val="-6"/>
          <w:sz w:val="21"/>
          <w:szCs w:val="21"/>
          <w:highlight w:val="none"/>
        </w:rPr>
        <w:t xml:space="preserve"> 人</w:t>
      </w:r>
      <w:r>
        <w:rPr>
          <w:rFonts w:hint="eastAsia"/>
          <w:spacing w:val="-6"/>
          <w:sz w:val="21"/>
          <w:szCs w:val="21"/>
          <w:highlight w:val="none"/>
        </w:rPr>
        <w:t>及</w:t>
      </w:r>
      <w:r>
        <w:rPr>
          <w:spacing w:val="-6"/>
          <w:sz w:val="21"/>
          <w:szCs w:val="21"/>
          <w:highlight w:val="none"/>
        </w:rPr>
        <w:t>以上单数组成，磋</w:t>
      </w:r>
      <w:r>
        <w:rPr>
          <w:sz w:val="21"/>
          <w:szCs w:val="21"/>
          <w:highlight w:val="none"/>
        </w:rPr>
        <w:t>商小组及其成员应当依照</w:t>
      </w:r>
      <w:r>
        <w:rPr>
          <w:rFonts w:hint="eastAsia"/>
          <w:sz w:val="21"/>
          <w:szCs w:val="21"/>
          <w:highlight w:val="none"/>
        </w:rPr>
        <w:t>采购</w:t>
      </w:r>
      <w:r>
        <w:rPr>
          <w:sz w:val="21"/>
          <w:szCs w:val="21"/>
          <w:highlight w:val="none"/>
        </w:rPr>
        <w:t>的有关规定履行相关职责和义务。</w:t>
      </w:r>
    </w:p>
    <w:p w14:paraId="557AE65F">
      <w:pPr>
        <w:pStyle w:val="27"/>
        <w:numPr>
          <w:ilvl w:val="1"/>
          <w:numId w:val="9"/>
        </w:numPr>
        <w:tabs>
          <w:tab w:val="left" w:pos="1272"/>
        </w:tabs>
        <w:spacing w:before="6" w:line="360" w:lineRule="auto"/>
        <w:ind w:left="234" w:right="373" w:firstLine="434"/>
        <w:rPr>
          <w:sz w:val="21"/>
          <w:szCs w:val="21"/>
          <w:highlight w:val="none"/>
        </w:rPr>
      </w:pPr>
      <w:r>
        <w:rPr>
          <w:spacing w:val="-1"/>
          <w:sz w:val="21"/>
          <w:szCs w:val="21"/>
          <w:highlight w:val="none"/>
        </w:rPr>
        <w:t>磋商小组依法对响应文件进行评审，并根据磋商文件规定的程序、评</w:t>
      </w:r>
      <w:r>
        <w:rPr>
          <w:sz w:val="21"/>
          <w:szCs w:val="21"/>
          <w:highlight w:val="none"/>
        </w:rPr>
        <w:t>定成交的标准等事项与实质性响应磋商文件要求的供应商进行磋商。</w:t>
      </w:r>
    </w:p>
    <w:p w14:paraId="2F1DB4C5">
      <w:pPr>
        <w:pStyle w:val="27"/>
        <w:numPr>
          <w:ilvl w:val="1"/>
          <w:numId w:val="9"/>
        </w:numPr>
        <w:tabs>
          <w:tab w:val="left" w:pos="1272"/>
        </w:tabs>
        <w:spacing w:before="5" w:line="360" w:lineRule="auto"/>
        <w:ind w:left="234" w:right="373" w:firstLine="434"/>
        <w:rPr>
          <w:sz w:val="21"/>
          <w:szCs w:val="21"/>
          <w:highlight w:val="none"/>
        </w:rPr>
      </w:pPr>
      <w:r>
        <w:rPr>
          <w:spacing w:val="-1"/>
          <w:sz w:val="21"/>
          <w:szCs w:val="21"/>
          <w:highlight w:val="none"/>
        </w:rPr>
        <w:t>磋商小组应当从质量和服务均能满足磋商文件实质性响应要求的供应</w:t>
      </w:r>
      <w:r>
        <w:rPr>
          <w:sz w:val="21"/>
          <w:szCs w:val="21"/>
          <w:highlight w:val="none"/>
        </w:rPr>
        <w:t>商中，按照评审方法和标准推荐成交候选供应商，并编写评审报告。</w:t>
      </w:r>
    </w:p>
    <w:p w14:paraId="552816B4">
      <w:pPr>
        <w:pStyle w:val="6"/>
        <w:numPr>
          <w:ilvl w:val="0"/>
          <w:numId w:val="9"/>
        </w:numPr>
        <w:rPr>
          <w:highlight w:val="none"/>
        </w:rPr>
      </w:pPr>
      <w:r>
        <w:rPr>
          <w:highlight w:val="none"/>
        </w:rPr>
        <w:t>响应文件的评审与磋商</w:t>
      </w:r>
    </w:p>
    <w:p w14:paraId="0FB06440">
      <w:pPr>
        <w:pStyle w:val="27"/>
        <w:numPr>
          <w:ilvl w:val="1"/>
          <w:numId w:val="9"/>
        </w:numPr>
        <w:tabs>
          <w:tab w:val="left" w:pos="1272"/>
        </w:tabs>
        <w:spacing w:before="158" w:line="360" w:lineRule="auto"/>
        <w:ind w:left="234" w:right="370" w:firstLine="434"/>
        <w:rPr>
          <w:sz w:val="21"/>
          <w:szCs w:val="21"/>
          <w:highlight w:val="none"/>
        </w:rPr>
      </w:pPr>
      <w:r>
        <w:rPr>
          <w:sz w:val="21"/>
          <w:szCs w:val="21"/>
          <w:highlight w:val="none"/>
        </w:rPr>
        <w:t>采购人和采购代理机构将在</w:t>
      </w:r>
      <w:r>
        <w:rPr>
          <w:sz w:val="21"/>
          <w:szCs w:val="21"/>
          <w:highlight w:val="none"/>
          <w:u w:val="single"/>
        </w:rPr>
        <w:t>供应商须知前附表</w:t>
      </w:r>
      <w:r>
        <w:rPr>
          <w:spacing w:val="-2"/>
          <w:sz w:val="21"/>
          <w:szCs w:val="21"/>
          <w:highlight w:val="none"/>
        </w:rPr>
        <w:t>规定的时间和地点组织</w:t>
      </w:r>
      <w:r>
        <w:rPr>
          <w:sz w:val="21"/>
          <w:szCs w:val="21"/>
          <w:highlight w:val="none"/>
        </w:rPr>
        <w:t>磋商。</w:t>
      </w:r>
    </w:p>
    <w:p w14:paraId="55430DF7">
      <w:pPr>
        <w:pStyle w:val="27"/>
        <w:numPr>
          <w:ilvl w:val="1"/>
          <w:numId w:val="9"/>
        </w:numPr>
        <w:tabs>
          <w:tab w:val="left" w:pos="1210"/>
        </w:tabs>
        <w:spacing w:before="2" w:line="360" w:lineRule="auto"/>
        <w:ind w:left="1209" w:hanging="541"/>
        <w:rPr>
          <w:sz w:val="21"/>
          <w:szCs w:val="21"/>
          <w:highlight w:val="none"/>
        </w:rPr>
      </w:pPr>
      <w:r>
        <w:rPr>
          <w:sz w:val="21"/>
          <w:szCs w:val="21"/>
          <w:highlight w:val="none"/>
        </w:rPr>
        <w:t>竞争性磋商活动采用综合评分法评审。</w:t>
      </w:r>
    </w:p>
    <w:p w14:paraId="013B9DAB">
      <w:pPr>
        <w:pStyle w:val="2"/>
        <w:spacing w:before="23" w:line="360" w:lineRule="auto"/>
        <w:ind w:left="234" w:right="373" w:firstLine="434"/>
        <w:rPr>
          <w:sz w:val="21"/>
          <w:szCs w:val="21"/>
          <w:highlight w:val="none"/>
        </w:rPr>
      </w:pPr>
      <w:r>
        <w:rPr>
          <w:spacing w:val="-10"/>
          <w:sz w:val="21"/>
          <w:szCs w:val="21"/>
          <w:highlight w:val="none"/>
        </w:rPr>
        <w:t>综合评分法，是指响应文件满足磋商文件全部实质性要求且按评审因素的量</w:t>
      </w:r>
      <w:r>
        <w:rPr>
          <w:sz w:val="21"/>
          <w:szCs w:val="21"/>
          <w:highlight w:val="none"/>
        </w:rPr>
        <w:t>化指标评审得分最高的供应商为成交候选供应商的评审方法。</w:t>
      </w:r>
    </w:p>
    <w:p w14:paraId="540AF37E">
      <w:pPr>
        <w:pStyle w:val="27"/>
        <w:numPr>
          <w:ilvl w:val="1"/>
          <w:numId w:val="9"/>
        </w:numPr>
        <w:tabs>
          <w:tab w:val="left" w:pos="1272"/>
        </w:tabs>
        <w:spacing w:before="56" w:line="360" w:lineRule="auto"/>
        <w:ind w:left="234" w:right="369" w:firstLine="434"/>
        <w:jc w:val="both"/>
        <w:rPr>
          <w:sz w:val="21"/>
          <w:szCs w:val="21"/>
          <w:highlight w:val="none"/>
        </w:rPr>
      </w:pPr>
      <w:r>
        <w:rPr>
          <w:spacing w:val="-1"/>
          <w:sz w:val="21"/>
          <w:szCs w:val="21"/>
          <w:highlight w:val="none"/>
        </w:rPr>
        <w:t>磋商小组将按照磋商文件规定的评审方法和标准对供应商独立进行评</w:t>
      </w:r>
      <w:r>
        <w:rPr>
          <w:sz w:val="21"/>
          <w:szCs w:val="21"/>
          <w:highlight w:val="none"/>
        </w:rPr>
        <w:t>审。评审程序如下：</w:t>
      </w:r>
    </w:p>
    <w:p w14:paraId="7151E495">
      <w:pPr>
        <w:pStyle w:val="27"/>
        <w:numPr>
          <w:ilvl w:val="2"/>
          <w:numId w:val="9"/>
        </w:numPr>
        <w:tabs>
          <w:tab w:val="left" w:pos="1512"/>
        </w:tabs>
        <w:spacing w:line="360" w:lineRule="auto"/>
        <w:ind w:right="369" w:firstLine="434"/>
        <w:jc w:val="both"/>
        <w:rPr>
          <w:sz w:val="21"/>
          <w:szCs w:val="21"/>
          <w:highlight w:val="none"/>
        </w:rPr>
      </w:pPr>
      <w:r>
        <w:rPr>
          <w:b/>
          <w:sz w:val="21"/>
          <w:szCs w:val="21"/>
          <w:highlight w:val="none"/>
        </w:rPr>
        <w:t>初审</w:t>
      </w:r>
      <w:r>
        <w:rPr>
          <w:sz w:val="21"/>
          <w:szCs w:val="21"/>
          <w:highlight w:val="none"/>
        </w:rPr>
        <w:t>。磋商小组对供应商必须满足和实质性响应的内容进行评审， 供应商未实质性响应磋商文件要求导致响应无效的，磋商小组将以书面询标的方式告知有关供应商。</w:t>
      </w:r>
    </w:p>
    <w:p w14:paraId="37AAE267">
      <w:pPr>
        <w:pStyle w:val="2"/>
        <w:spacing w:line="360" w:lineRule="auto"/>
        <w:ind w:left="234" w:right="363" w:firstLine="470"/>
        <w:jc w:val="both"/>
        <w:rPr>
          <w:sz w:val="21"/>
          <w:szCs w:val="21"/>
          <w:highlight w:val="none"/>
        </w:rPr>
      </w:pPr>
      <w:r>
        <w:rPr>
          <w:sz w:val="21"/>
          <w:szCs w:val="21"/>
          <w:highlight w:val="none"/>
        </w:rPr>
        <w:t>采购人或采购代理机构将在响应文件提交截止时间后至评审结束前查询供应商的信用记录。供应商存在不良信用记录的，其响应文件将被认定为</w:t>
      </w:r>
      <w:r>
        <w:rPr>
          <w:b/>
          <w:sz w:val="21"/>
          <w:szCs w:val="21"/>
          <w:highlight w:val="none"/>
        </w:rPr>
        <w:t>响应无效</w:t>
      </w:r>
      <w:r>
        <w:rPr>
          <w:sz w:val="21"/>
          <w:szCs w:val="21"/>
          <w:highlight w:val="none"/>
        </w:rPr>
        <w:t>。</w:t>
      </w:r>
    </w:p>
    <w:p w14:paraId="6C382484">
      <w:pPr>
        <w:pStyle w:val="27"/>
        <w:numPr>
          <w:ilvl w:val="2"/>
          <w:numId w:val="9"/>
        </w:numPr>
        <w:tabs>
          <w:tab w:val="left" w:pos="1512"/>
        </w:tabs>
        <w:spacing w:line="360" w:lineRule="auto"/>
        <w:ind w:right="365" w:firstLine="434"/>
        <w:jc w:val="both"/>
        <w:rPr>
          <w:sz w:val="21"/>
          <w:szCs w:val="21"/>
          <w:highlight w:val="none"/>
        </w:rPr>
      </w:pPr>
      <w:r>
        <w:rPr>
          <w:b/>
          <w:sz w:val="21"/>
          <w:szCs w:val="21"/>
          <w:highlight w:val="none"/>
        </w:rPr>
        <w:t>磋商</w:t>
      </w:r>
      <w:r>
        <w:rPr>
          <w:spacing w:val="-1"/>
          <w:sz w:val="21"/>
          <w:szCs w:val="21"/>
          <w:highlight w:val="none"/>
        </w:rPr>
        <w:t>。初审合格后，磋商小组将按响应文件提交顺序</w:t>
      </w:r>
      <w:r>
        <w:rPr>
          <w:sz w:val="21"/>
          <w:szCs w:val="21"/>
          <w:highlight w:val="none"/>
        </w:rPr>
        <w:t>集中与单一供应商分别进行磋商，并给予所有参加磋商的供应商平等的磋商机会，如供应商未到磋商现场的，视同放弃该权利。</w:t>
      </w:r>
    </w:p>
    <w:p w14:paraId="12CE2208">
      <w:pPr>
        <w:pStyle w:val="27"/>
        <w:numPr>
          <w:ilvl w:val="2"/>
          <w:numId w:val="9"/>
        </w:numPr>
        <w:tabs>
          <w:tab w:val="left" w:pos="1512"/>
        </w:tabs>
        <w:spacing w:before="56" w:line="360" w:lineRule="auto"/>
        <w:ind w:right="370" w:firstLine="434"/>
        <w:jc w:val="both"/>
        <w:rPr>
          <w:b w:val="0"/>
          <w:bCs/>
          <w:sz w:val="21"/>
          <w:szCs w:val="21"/>
          <w:highlight w:val="none"/>
        </w:rPr>
      </w:pPr>
      <w:r>
        <w:rPr>
          <w:b/>
          <w:sz w:val="21"/>
          <w:szCs w:val="21"/>
          <w:highlight w:val="none"/>
        </w:rPr>
        <w:t>报价。</w:t>
      </w:r>
      <w:r>
        <w:rPr>
          <w:b w:val="0"/>
          <w:bCs/>
          <w:sz w:val="21"/>
          <w:szCs w:val="21"/>
          <w:highlight w:val="none"/>
        </w:rPr>
        <w:t>磋商结束后，磋商小组应当要求所有实质性响应的供应商在规定时间内提交最后报价。</w:t>
      </w:r>
    </w:p>
    <w:p w14:paraId="0EDA05BE">
      <w:pPr>
        <w:pStyle w:val="27"/>
        <w:numPr>
          <w:ilvl w:val="2"/>
          <w:numId w:val="9"/>
        </w:numPr>
        <w:tabs>
          <w:tab w:val="left" w:pos="1512"/>
        </w:tabs>
        <w:spacing w:before="56" w:line="360" w:lineRule="auto"/>
        <w:ind w:right="370" w:firstLine="434"/>
        <w:jc w:val="both"/>
        <w:rPr>
          <w:b w:val="0"/>
          <w:bCs/>
          <w:sz w:val="21"/>
          <w:szCs w:val="21"/>
          <w:highlight w:val="none"/>
        </w:rPr>
      </w:pPr>
      <w:r>
        <w:rPr>
          <w:rFonts w:hint="eastAsia"/>
          <w:b w:val="0"/>
          <w:bCs/>
          <w:sz w:val="21"/>
          <w:szCs w:val="21"/>
          <w:highlight w:val="none"/>
        </w:rPr>
        <w:t>异常低价响应审查。根据《关于推进解决政府采购异常低价问题的通知》（财库〔2026〕2号），</w:t>
      </w:r>
      <w:r>
        <w:rPr>
          <w:rFonts w:hint="eastAsia"/>
          <w:b w:val="0"/>
          <w:bCs/>
          <w:sz w:val="21"/>
          <w:szCs w:val="21"/>
          <w:highlight w:val="none"/>
          <w:lang w:eastAsia="zh-CN"/>
        </w:rPr>
        <w:t>磋商</w:t>
      </w:r>
      <w:r>
        <w:rPr>
          <w:rFonts w:hint="eastAsia"/>
          <w:b w:val="0"/>
          <w:bCs/>
          <w:sz w:val="21"/>
          <w:szCs w:val="21"/>
          <w:highlight w:val="none"/>
        </w:rPr>
        <w:t>小组进行异常低价响应审查。</w:t>
      </w:r>
    </w:p>
    <w:p w14:paraId="303FAF62">
      <w:pPr>
        <w:pStyle w:val="27"/>
        <w:numPr>
          <w:ilvl w:val="2"/>
          <w:numId w:val="9"/>
        </w:numPr>
        <w:tabs>
          <w:tab w:val="left" w:pos="1512"/>
        </w:tabs>
        <w:spacing w:before="56" w:line="360" w:lineRule="auto"/>
        <w:ind w:right="370" w:firstLine="434"/>
        <w:jc w:val="both"/>
        <w:rPr>
          <w:sz w:val="21"/>
          <w:szCs w:val="21"/>
          <w:highlight w:val="none"/>
        </w:rPr>
      </w:pPr>
      <w:r>
        <w:rPr>
          <w:b/>
          <w:sz w:val="21"/>
          <w:szCs w:val="21"/>
          <w:highlight w:val="none"/>
        </w:rPr>
        <w:t>综合评分</w:t>
      </w:r>
      <w:r>
        <w:rPr>
          <w:spacing w:val="-1"/>
          <w:sz w:val="21"/>
          <w:szCs w:val="21"/>
          <w:highlight w:val="none"/>
        </w:rPr>
        <w:t>。磋商小组只对通过初审，实质上响应磋商文件要求的响</w:t>
      </w:r>
      <w:r>
        <w:rPr>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7E07D46F">
      <w:pPr>
        <w:pStyle w:val="27"/>
        <w:numPr>
          <w:ilvl w:val="1"/>
          <w:numId w:val="9"/>
        </w:numPr>
        <w:tabs>
          <w:tab w:val="left" w:pos="1210"/>
        </w:tabs>
        <w:spacing w:line="360" w:lineRule="auto"/>
        <w:ind w:left="1209" w:hanging="541"/>
        <w:jc w:val="both"/>
        <w:rPr>
          <w:sz w:val="21"/>
          <w:szCs w:val="21"/>
          <w:highlight w:val="none"/>
        </w:rPr>
      </w:pPr>
      <w:r>
        <w:rPr>
          <w:sz w:val="21"/>
          <w:szCs w:val="21"/>
          <w:highlight w:val="none"/>
        </w:rPr>
        <w:t>相关说明。</w:t>
      </w:r>
    </w:p>
    <w:p w14:paraId="0B4FDD4A">
      <w:pPr>
        <w:pStyle w:val="27"/>
        <w:numPr>
          <w:ilvl w:val="2"/>
          <w:numId w:val="9"/>
        </w:numPr>
        <w:tabs>
          <w:tab w:val="left" w:pos="1433"/>
        </w:tabs>
        <w:spacing w:before="160" w:line="360" w:lineRule="auto"/>
        <w:ind w:left="1432" w:hanging="764"/>
        <w:jc w:val="both"/>
        <w:rPr>
          <w:sz w:val="21"/>
          <w:szCs w:val="21"/>
          <w:highlight w:val="none"/>
        </w:rPr>
      </w:pPr>
      <w:r>
        <w:rPr>
          <w:spacing w:val="-10"/>
          <w:sz w:val="21"/>
          <w:szCs w:val="21"/>
          <w:highlight w:val="none"/>
        </w:rPr>
        <w:t>为保证磋商活动顺利进行，供应商可派相关技术人员进行现场答疑；</w:t>
      </w:r>
    </w:p>
    <w:p w14:paraId="35238771">
      <w:pPr>
        <w:pStyle w:val="27"/>
        <w:numPr>
          <w:ilvl w:val="2"/>
          <w:numId w:val="9"/>
        </w:numPr>
        <w:tabs>
          <w:tab w:val="left" w:pos="1512"/>
        </w:tabs>
        <w:spacing w:before="159" w:line="360" w:lineRule="auto"/>
        <w:ind w:right="366" w:firstLine="434"/>
        <w:jc w:val="both"/>
        <w:rPr>
          <w:sz w:val="21"/>
          <w:szCs w:val="21"/>
          <w:highlight w:val="none"/>
        </w:rPr>
      </w:pPr>
      <w:r>
        <w:rPr>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7DE96785">
      <w:pPr>
        <w:pStyle w:val="27"/>
        <w:numPr>
          <w:ilvl w:val="2"/>
          <w:numId w:val="9"/>
        </w:numPr>
        <w:tabs>
          <w:tab w:val="left" w:pos="1512"/>
        </w:tabs>
        <w:spacing w:line="360" w:lineRule="auto"/>
        <w:ind w:right="373" w:firstLine="434"/>
        <w:jc w:val="both"/>
        <w:rPr>
          <w:sz w:val="21"/>
          <w:szCs w:val="21"/>
          <w:highlight w:val="none"/>
        </w:rPr>
      </w:pPr>
      <w:r>
        <w:rPr>
          <w:spacing w:val="-1"/>
          <w:sz w:val="21"/>
          <w:szCs w:val="21"/>
          <w:highlight w:val="none"/>
        </w:rPr>
        <w:t>磋商过程中，磋商小组发现供应商的报价或者某些分项报价明显不</w:t>
      </w:r>
      <w:r>
        <w:rPr>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6603D8B9">
      <w:pPr>
        <w:pStyle w:val="27"/>
        <w:numPr>
          <w:ilvl w:val="2"/>
          <w:numId w:val="9"/>
        </w:numPr>
        <w:tabs>
          <w:tab w:val="left" w:pos="1512"/>
        </w:tabs>
        <w:spacing w:line="360" w:lineRule="auto"/>
        <w:ind w:right="367" w:firstLine="434"/>
        <w:jc w:val="both"/>
        <w:rPr>
          <w:sz w:val="21"/>
          <w:szCs w:val="21"/>
          <w:highlight w:val="none"/>
        </w:rPr>
      </w:pPr>
      <w:r>
        <w:rPr>
          <w:sz w:val="21"/>
          <w:szCs w:val="21"/>
          <w:highlight w:val="none"/>
        </w:rPr>
        <w:t>无论何种原因，即使供应商磋商时携带了证书材料的原件，但响应文件中未提供与之内容完全一致的扫描件或影印件的，磋商小组可以视同其未提供。</w:t>
      </w:r>
    </w:p>
    <w:p w14:paraId="49CE239A">
      <w:pPr>
        <w:pStyle w:val="27"/>
        <w:numPr>
          <w:ilvl w:val="2"/>
          <w:numId w:val="9"/>
        </w:numPr>
        <w:tabs>
          <w:tab w:val="left" w:pos="1512"/>
        </w:tabs>
        <w:spacing w:line="360" w:lineRule="auto"/>
        <w:ind w:right="373" w:firstLine="434"/>
        <w:jc w:val="both"/>
        <w:rPr>
          <w:sz w:val="21"/>
          <w:szCs w:val="21"/>
          <w:highlight w:val="none"/>
        </w:rPr>
      </w:pPr>
      <w:r>
        <w:rPr>
          <w:spacing w:val="-1"/>
          <w:sz w:val="21"/>
          <w:szCs w:val="21"/>
          <w:highlight w:val="none"/>
        </w:rPr>
        <w:t>磋商小组决定响应文件的响应性及符合性只根据响应文件本身的内</w:t>
      </w:r>
      <w:r>
        <w:rPr>
          <w:sz w:val="21"/>
          <w:szCs w:val="21"/>
          <w:highlight w:val="none"/>
        </w:rPr>
        <w:t>容，而不寻求其他外部证据。</w:t>
      </w:r>
    </w:p>
    <w:p w14:paraId="52F9DEA2">
      <w:pPr>
        <w:pStyle w:val="27"/>
        <w:numPr>
          <w:ilvl w:val="1"/>
          <w:numId w:val="9"/>
        </w:numPr>
        <w:tabs>
          <w:tab w:val="left" w:pos="1272"/>
        </w:tabs>
        <w:spacing w:before="1" w:line="360" w:lineRule="auto"/>
        <w:ind w:left="234" w:right="366" w:firstLine="434"/>
        <w:jc w:val="both"/>
        <w:rPr>
          <w:sz w:val="21"/>
          <w:szCs w:val="21"/>
          <w:highlight w:val="none"/>
        </w:rPr>
      </w:pPr>
      <w:r>
        <w:rPr>
          <w:sz w:val="21"/>
          <w:szCs w:val="21"/>
          <w:highlight w:val="none"/>
        </w:rPr>
        <w:t>供应商授权代表对磋商过程有疑义，以及认为采购人、采购代理机构相关工作人员有需要回避的情形的，应当场提出询问或者回避申请，并说明理由。</w:t>
      </w:r>
    </w:p>
    <w:p w14:paraId="4879A698">
      <w:pPr>
        <w:pStyle w:val="6"/>
        <w:numPr>
          <w:ilvl w:val="0"/>
          <w:numId w:val="9"/>
        </w:numPr>
        <w:rPr>
          <w:highlight w:val="none"/>
        </w:rPr>
      </w:pPr>
      <w:r>
        <w:rPr>
          <w:highlight w:val="none"/>
        </w:rPr>
        <w:t>终止竞争性磋商</w:t>
      </w:r>
    </w:p>
    <w:p w14:paraId="32EABD1A">
      <w:pPr>
        <w:pStyle w:val="27"/>
        <w:numPr>
          <w:ilvl w:val="1"/>
          <w:numId w:val="9"/>
        </w:numPr>
        <w:tabs>
          <w:tab w:val="left" w:pos="1272"/>
        </w:tabs>
        <w:spacing w:before="161" w:line="360" w:lineRule="auto"/>
        <w:ind w:left="234" w:right="370" w:firstLine="434"/>
        <w:rPr>
          <w:sz w:val="21"/>
          <w:szCs w:val="21"/>
          <w:highlight w:val="none"/>
        </w:rPr>
      </w:pPr>
      <w:r>
        <w:rPr>
          <w:spacing w:val="-1"/>
          <w:sz w:val="21"/>
          <w:szCs w:val="21"/>
          <w:highlight w:val="none"/>
        </w:rPr>
        <w:t>出现下列情况之一时，采购人和采购代理机构有权宣布终止竞争性磋</w:t>
      </w:r>
      <w:r>
        <w:rPr>
          <w:sz w:val="21"/>
          <w:szCs w:val="21"/>
          <w:highlight w:val="none"/>
        </w:rPr>
        <w:t>商采购，并将理由通知所有供应商：</w:t>
      </w:r>
    </w:p>
    <w:p w14:paraId="2DB8422F">
      <w:pPr>
        <w:pStyle w:val="27"/>
        <w:numPr>
          <w:ilvl w:val="0"/>
          <w:numId w:val="10"/>
        </w:numPr>
        <w:tabs>
          <w:tab w:val="left" w:pos="1271"/>
        </w:tabs>
        <w:spacing w:before="5" w:line="360" w:lineRule="auto"/>
        <w:ind w:hanging="602"/>
        <w:rPr>
          <w:sz w:val="21"/>
          <w:szCs w:val="21"/>
          <w:highlight w:val="none"/>
        </w:rPr>
      </w:pPr>
      <w:r>
        <w:rPr>
          <w:sz w:val="21"/>
          <w:szCs w:val="21"/>
          <w:highlight w:val="none"/>
        </w:rPr>
        <w:t>有效供应商数量不足，导致本次磋商缺乏竞争的；</w:t>
      </w:r>
    </w:p>
    <w:p w14:paraId="5AF9C590">
      <w:pPr>
        <w:pStyle w:val="27"/>
        <w:numPr>
          <w:ilvl w:val="0"/>
          <w:numId w:val="10"/>
        </w:numPr>
        <w:tabs>
          <w:tab w:val="left" w:pos="1271"/>
        </w:tabs>
        <w:spacing w:before="161" w:line="360" w:lineRule="auto"/>
        <w:ind w:hanging="602"/>
        <w:rPr>
          <w:sz w:val="21"/>
          <w:szCs w:val="21"/>
          <w:highlight w:val="none"/>
        </w:rPr>
      </w:pPr>
      <w:r>
        <w:rPr>
          <w:sz w:val="21"/>
          <w:szCs w:val="21"/>
          <w:highlight w:val="none"/>
        </w:rPr>
        <w:t>出现影响采购公正的违法、违规行为的；</w:t>
      </w:r>
    </w:p>
    <w:p w14:paraId="21C9BEEC">
      <w:pPr>
        <w:pStyle w:val="27"/>
        <w:numPr>
          <w:ilvl w:val="0"/>
          <w:numId w:val="10"/>
        </w:numPr>
        <w:tabs>
          <w:tab w:val="left" w:pos="1271"/>
        </w:tabs>
        <w:spacing w:before="158" w:line="360" w:lineRule="auto"/>
        <w:ind w:hanging="602"/>
        <w:rPr>
          <w:sz w:val="21"/>
          <w:szCs w:val="21"/>
          <w:highlight w:val="none"/>
        </w:rPr>
      </w:pPr>
      <w:r>
        <w:rPr>
          <w:sz w:val="21"/>
          <w:szCs w:val="21"/>
          <w:highlight w:val="none"/>
        </w:rPr>
        <w:t>因重大变故，采购任务取消的；</w:t>
      </w:r>
    </w:p>
    <w:p w14:paraId="51CBF558">
      <w:pPr>
        <w:pStyle w:val="27"/>
        <w:numPr>
          <w:ilvl w:val="0"/>
          <w:numId w:val="10"/>
        </w:numPr>
        <w:tabs>
          <w:tab w:val="left" w:pos="1271"/>
        </w:tabs>
        <w:spacing w:before="160" w:line="360" w:lineRule="auto"/>
        <w:ind w:hanging="602"/>
        <w:rPr>
          <w:sz w:val="21"/>
          <w:szCs w:val="21"/>
          <w:highlight w:val="none"/>
        </w:rPr>
      </w:pPr>
      <w:r>
        <w:rPr>
          <w:sz w:val="21"/>
          <w:szCs w:val="21"/>
          <w:highlight w:val="none"/>
        </w:rPr>
        <w:t>法律法规规定的其他情形。</w:t>
      </w:r>
    </w:p>
    <w:p w14:paraId="71F5774E">
      <w:pPr>
        <w:pStyle w:val="6"/>
        <w:numPr>
          <w:ilvl w:val="0"/>
          <w:numId w:val="9"/>
        </w:numPr>
        <w:rPr>
          <w:highlight w:val="none"/>
        </w:rPr>
      </w:pPr>
      <w:r>
        <w:rPr>
          <w:highlight w:val="none"/>
        </w:rPr>
        <w:t>响应文件的澄清、说明或更正</w:t>
      </w:r>
    </w:p>
    <w:p w14:paraId="5C5FAFBB">
      <w:pPr>
        <w:pStyle w:val="27"/>
        <w:numPr>
          <w:ilvl w:val="1"/>
          <w:numId w:val="9"/>
        </w:numPr>
        <w:tabs>
          <w:tab w:val="left" w:pos="1306"/>
        </w:tabs>
        <w:spacing w:before="160" w:line="360" w:lineRule="auto"/>
        <w:ind w:left="234" w:right="372" w:firstLine="470"/>
        <w:jc w:val="both"/>
        <w:rPr>
          <w:sz w:val="21"/>
          <w:szCs w:val="21"/>
          <w:highlight w:val="none"/>
        </w:rPr>
      </w:pPr>
      <w:r>
        <w:rPr>
          <w:spacing w:val="-1"/>
          <w:sz w:val="21"/>
          <w:szCs w:val="21"/>
          <w:highlight w:val="none"/>
        </w:rPr>
        <w:t>磋商小组将对响应文件的有效性、完整性和响应程度进行审查，审查</w:t>
      </w:r>
      <w:r>
        <w:rPr>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3298B57">
      <w:pPr>
        <w:pStyle w:val="27"/>
        <w:numPr>
          <w:ilvl w:val="1"/>
          <w:numId w:val="9"/>
        </w:numPr>
        <w:tabs>
          <w:tab w:val="left" w:pos="1246"/>
        </w:tabs>
        <w:spacing w:line="360" w:lineRule="auto"/>
        <w:ind w:left="234" w:right="373" w:firstLine="470"/>
        <w:jc w:val="both"/>
        <w:rPr>
          <w:sz w:val="21"/>
          <w:szCs w:val="21"/>
          <w:highlight w:val="none"/>
        </w:rPr>
      </w:pPr>
      <w:r>
        <w:rPr>
          <w:spacing w:val="-11"/>
          <w:sz w:val="21"/>
          <w:szCs w:val="21"/>
          <w:highlight w:val="none"/>
        </w:rPr>
        <w:t>磋商小组要求供应商澄清、说明或者更正响应文件应当以书面形式</w:t>
      </w:r>
      <w:r>
        <w:rPr>
          <w:sz w:val="21"/>
          <w:szCs w:val="21"/>
          <w:highlight w:val="none"/>
        </w:rPr>
        <w:t>（</w:t>
      </w:r>
      <w:r>
        <w:rPr>
          <w:spacing w:val="-17"/>
          <w:sz w:val="21"/>
          <w:szCs w:val="21"/>
          <w:highlight w:val="none"/>
        </w:rPr>
        <w:t>询</w:t>
      </w:r>
      <w:r>
        <w:rPr>
          <w:spacing w:val="4"/>
          <w:sz w:val="21"/>
          <w:szCs w:val="21"/>
          <w:highlight w:val="none"/>
        </w:rPr>
        <w:t>标）</w:t>
      </w:r>
      <w:r>
        <w:rPr>
          <w:sz w:val="21"/>
          <w:szCs w:val="21"/>
          <w:highlight w:val="none"/>
        </w:rPr>
        <w:t>作出。供应商的澄清、说明或者更正应当由法定代表人或其授权代表签字或者加盖公章。</w:t>
      </w:r>
    </w:p>
    <w:p w14:paraId="33B8C528">
      <w:pPr>
        <w:pStyle w:val="6"/>
        <w:numPr>
          <w:ilvl w:val="0"/>
          <w:numId w:val="9"/>
        </w:numPr>
        <w:rPr>
          <w:highlight w:val="none"/>
        </w:rPr>
      </w:pPr>
      <w:r>
        <w:rPr>
          <w:highlight w:val="none"/>
        </w:rPr>
        <w:t>最后报价</w:t>
      </w:r>
    </w:p>
    <w:p w14:paraId="405E0A95">
      <w:pPr>
        <w:pStyle w:val="27"/>
        <w:numPr>
          <w:ilvl w:val="1"/>
          <w:numId w:val="9"/>
        </w:numPr>
        <w:tabs>
          <w:tab w:val="left" w:pos="1272"/>
        </w:tabs>
        <w:spacing w:before="157" w:line="360" w:lineRule="auto"/>
        <w:ind w:left="234" w:right="373" w:firstLine="434"/>
        <w:rPr>
          <w:sz w:val="21"/>
          <w:szCs w:val="21"/>
          <w:highlight w:val="none"/>
        </w:rPr>
      </w:pPr>
      <w:r>
        <w:rPr>
          <w:spacing w:val="-1"/>
          <w:sz w:val="21"/>
          <w:szCs w:val="21"/>
          <w:highlight w:val="none"/>
        </w:rPr>
        <w:t>磋商并不限定只进行二轮报价，如果磋商小组认为有必要，可以要求</w:t>
      </w:r>
      <w:r>
        <w:rPr>
          <w:sz w:val="21"/>
          <w:szCs w:val="21"/>
          <w:highlight w:val="none"/>
        </w:rPr>
        <w:t>供应商进行多轮报价。</w:t>
      </w:r>
    </w:p>
    <w:p w14:paraId="70E94EA8">
      <w:pPr>
        <w:pStyle w:val="27"/>
        <w:numPr>
          <w:ilvl w:val="1"/>
          <w:numId w:val="9"/>
        </w:numPr>
        <w:tabs>
          <w:tab w:val="left" w:pos="1272"/>
        </w:tabs>
        <w:spacing w:before="5" w:line="360" w:lineRule="auto"/>
        <w:ind w:left="234" w:right="373" w:firstLine="434"/>
        <w:rPr>
          <w:sz w:val="21"/>
          <w:szCs w:val="21"/>
          <w:highlight w:val="none"/>
        </w:rPr>
      </w:pPr>
      <w:r>
        <w:rPr>
          <w:spacing w:val="-1"/>
          <w:sz w:val="21"/>
          <w:szCs w:val="21"/>
          <w:highlight w:val="none"/>
        </w:rPr>
        <w:t>在磋商内容不做实质性变更或重大调整的前提下，供应商下轮报价不</w:t>
      </w:r>
      <w:r>
        <w:rPr>
          <w:sz w:val="21"/>
          <w:szCs w:val="21"/>
          <w:highlight w:val="none"/>
        </w:rPr>
        <w:t>得高于上一轮报价。</w:t>
      </w:r>
    </w:p>
    <w:p w14:paraId="31B9EA4C">
      <w:pPr>
        <w:pStyle w:val="27"/>
        <w:numPr>
          <w:ilvl w:val="1"/>
          <w:numId w:val="9"/>
        </w:numPr>
        <w:tabs>
          <w:tab w:val="left" w:pos="1272"/>
        </w:tabs>
        <w:spacing w:before="5" w:line="360" w:lineRule="auto"/>
        <w:ind w:left="234" w:right="373" w:firstLine="434"/>
        <w:rPr>
          <w:sz w:val="21"/>
          <w:szCs w:val="21"/>
          <w:highlight w:val="none"/>
        </w:rPr>
      </w:pPr>
      <w:r>
        <w:rPr>
          <w:spacing w:val="-1"/>
          <w:sz w:val="21"/>
          <w:szCs w:val="21"/>
          <w:highlight w:val="none"/>
        </w:rPr>
        <w:t>最后报价是供应商响应文件的有效组成部分，最后报价也是签订合同</w:t>
      </w:r>
      <w:r>
        <w:rPr>
          <w:sz w:val="21"/>
          <w:szCs w:val="21"/>
          <w:highlight w:val="none"/>
        </w:rPr>
        <w:t>的依据。</w:t>
      </w:r>
    </w:p>
    <w:p w14:paraId="01A63512">
      <w:pPr>
        <w:pStyle w:val="6"/>
        <w:numPr>
          <w:ilvl w:val="0"/>
          <w:numId w:val="9"/>
        </w:numPr>
        <w:rPr>
          <w:highlight w:val="none"/>
        </w:rPr>
      </w:pPr>
      <w:r>
        <w:rPr>
          <w:highlight w:val="none"/>
        </w:rPr>
        <w:t>成交候选供应商的推荐原则及标准</w:t>
      </w:r>
    </w:p>
    <w:p w14:paraId="1B889194">
      <w:pPr>
        <w:pStyle w:val="27"/>
        <w:numPr>
          <w:ilvl w:val="1"/>
          <w:numId w:val="9"/>
        </w:numPr>
        <w:tabs>
          <w:tab w:val="left" w:pos="1272"/>
        </w:tabs>
        <w:spacing w:before="158" w:line="360" w:lineRule="auto"/>
        <w:ind w:left="234" w:right="368" w:firstLine="434"/>
        <w:jc w:val="both"/>
        <w:rPr>
          <w:sz w:val="21"/>
          <w:szCs w:val="21"/>
          <w:highlight w:val="none"/>
        </w:rPr>
      </w:pPr>
      <w:r>
        <w:rPr>
          <w:spacing w:val="-1"/>
          <w:sz w:val="21"/>
          <w:szCs w:val="21"/>
          <w:highlight w:val="none"/>
        </w:rPr>
        <w:t>磋商小组依据本项目磋商文件所约定的评审方法和标准，按照有效供</w:t>
      </w:r>
      <w:r>
        <w:rPr>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sz w:val="21"/>
          <w:szCs w:val="21"/>
          <w:highlight w:val="none"/>
          <w:lang w:val="en-US"/>
        </w:rPr>
        <w:t>由磋商小组在采购人监督下采取</w:t>
      </w:r>
      <w:r>
        <w:rPr>
          <w:rFonts w:hint="eastAsia"/>
          <w:sz w:val="21"/>
          <w:szCs w:val="21"/>
          <w:highlight w:val="none"/>
        </w:rPr>
        <w:t>抽签方式确定</w:t>
      </w:r>
      <w:r>
        <w:rPr>
          <w:rFonts w:hint="eastAsia"/>
          <w:sz w:val="21"/>
          <w:szCs w:val="21"/>
          <w:highlight w:val="none"/>
          <w:lang w:val="en-US"/>
        </w:rPr>
        <w:t>成交</w:t>
      </w:r>
      <w:r>
        <w:rPr>
          <w:rFonts w:hint="eastAsia"/>
          <w:sz w:val="21"/>
          <w:szCs w:val="21"/>
          <w:highlight w:val="none"/>
        </w:rPr>
        <w:t>候选顺序</w:t>
      </w:r>
      <w:r>
        <w:rPr>
          <w:sz w:val="21"/>
          <w:szCs w:val="21"/>
          <w:highlight w:val="none"/>
        </w:rPr>
        <w:t>。</w:t>
      </w:r>
    </w:p>
    <w:p w14:paraId="31DD222D">
      <w:pPr>
        <w:pStyle w:val="6"/>
        <w:numPr>
          <w:ilvl w:val="0"/>
          <w:numId w:val="9"/>
        </w:numPr>
        <w:rPr>
          <w:highlight w:val="none"/>
        </w:rPr>
      </w:pPr>
      <w:r>
        <w:rPr>
          <w:highlight w:val="none"/>
        </w:rPr>
        <w:t>确定成交候选供应商和成交供应商</w:t>
      </w:r>
    </w:p>
    <w:p w14:paraId="6BA84253">
      <w:pPr>
        <w:pStyle w:val="27"/>
        <w:numPr>
          <w:ilvl w:val="1"/>
          <w:numId w:val="9"/>
        </w:numPr>
        <w:tabs>
          <w:tab w:val="left" w:pos="1306"/>
        </w:tabs>
        <w:spacing w:before="161" w:line="360" w:lineRule="auto"/>
        <w:ind w:left="234" w:right="366" w:firstLine="470"/>
        <w:jc w:val="both"/>
        <w:rPr>
          <w:sz w:val="21"/>
          <w:szCs w:val="21"/>
          <w:highlight w:val="none"/>
        </w:rPr>
      </w:pPr>
      <w:r>
        <w:rPr>
          <w:sz w:val="21"/>
          <w:szCs w:val="21"/>
          <w:highlight w:val="none"/>
        </w:rPr>
        <w:t>磋商小组根据综合评分的结果和供应商须知前附表中规定确定成交候选供应商，并标明排列顺序。</w:t>
      </w:r>
      <w:r>
        <w:rPr>
          <w:rFonts w:hint="eastAsia"/>
          <w:sz w:val="21"/>
          <w:szCs w:val="21"/>
          <w:highlight w:val="none"/>
          <w:lang w:val="en-US"/>
        </w:rPr>
        <w:t>采购人</w:t>
      </w:r>
      <w:r>
        <w:rPr>
          <w:rFonts w:hint="eastAsia"/>
          <w:sz w:val="21"/>
          <w:szCs w:val="21"/>
          <w:highlight w:val="none"/>
        </w:rPr>
        <w:t>根据</w:t>
      </w:r>
      <w:r>
        <w:rPr>
          <w:rFonts w:hint="eastAsia"/>
          <w:sz w:val="21"/>
          <w:szCs w:val="21"/>
          <w:highlight w:val="none"/>
          <w:lang w:val="en-US"/>
        </w:rPr>
        <w:t>磋商小组推荐成交</w:t>
      </w:r>
      <w:r>
        <w:rPr>
          <w:rFonts w:hint="eastAsia"/>
          <w:sz w:val="21"/>
          <w:szCs w:val="21"/>
          <w:highlight w:val="none"/>
        </w:rPr>
        <w:t>候选人顺序依次确定</w:t>
      </w:r>
      <w:r>
        <w:rPr>
          <w:sz w:val="21"/>
          <w:szCs w:val="21"/>
          <w:highlight w:val="none"/>
        </w:rPr>
        <w:t>2</w:t>
      </w:r>
      <w:r>
        <w:rPr>
          <w:rFonts w:hint="eastAsia"/>
          <w:sz w:val="21"/>
          <w:szCs w:val="21"/>
          <w:highlight w:val="none"/>
        </w:rPr>
        <w:t>家</w:t>
      </w:r>
      <w:r>
        <w:rPr>
          <w:rFonts w:hint="eastAsia"/>
          <w:sz w:val="21"/>
          <w:szCs w:val="21"/>
          <w:highlight w:val="none"/>
          <w:lang w:val="en-US"/>
        </w:rPr>
        <w:t>成交</w:t>
      </w:r>
      <w:r>
        <w:rPr>
          <w:rFonts w:hint="eastAsia"/>
          <w:sz w:val="21"/>
          <w:szCs w:val="21"/>
          <w:highlight w:val="none"/>
        </w:rPr>
        <w:t>单位，</w:t>
      </w:r>
      <w:r>
        <w:rPr>
          <w:sz w:val="21"/>
          <w:szCs w:val="21"/>
          <w:highlight w:val="none"/>
        </w:rPr>
        <w:t>确定为成交供应商后，由采购代理机构在指定媒体上予以公告。</w:t>
      </w:r>
    </w:p>
    <w:p w14:paraId="6FA88A56">
      <w:pPr>
        <w:pStyle w:val="6"/>
        <w:numPr>
          <w:ilvl w:val="0"/>
          <w:numId w:val="9"/>
        </w:numPr>
        <w:rPr>
          <w:highlight w:val="none"/>
        </w:rPr>
      </w:pPr>
      <w:r>
        <w:rPr>
          <w:highlight w:val="none"/>
        </w:rPr>
        <w:t>编写评审报告</w:t>
      </w:r>
    </w:p>
    <w:p w14:paraId="47E1C133">
      <w:pPr>
        <w:pStyle w:val="27"/>
        <w:numPr>
          <w:ilvl w:val="1"/>
          <w:numId w:val="9"/>
        </w:numPr>
        <w:tabs>
          <w:tab w:val="left" w:pos="1272"/>
        </w:tabs>
        <w:spacing w:before="158" w:line="360" w:lineRule="auto"/>
        <w:ind w:left="234" w:right="360" w:firstLine="434"/>
        <w:jc w:val="both"/>
        <w:rPr>
          <w:sz w:val="21"/>
          <w:szCs w:val="21"/>
          <w:highlight w:val="none"/>
        </w:rPr>
      </w:pPr>
      <w:r>
        <w:rPr>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AC3866E">
      <w:pPr>
        <w:pStyle w:val="6"/>
        <w:numPr>
          <w:ilvl w:val="0"/>
          <w:numId w:val="9"/>
        </w:numPr>
        <w:rPr>
          <w:highlight w:val="none"/>
        </w:rPr>
      </w:pPr>
      <w:r>
        <w:rPr>
          <w:highlight w:val="none"/>
        </w:rPr>
        <w:t>保密要求</w:t>
      </w:r>
    </w:p>
    <w:p w14:paraId="3A307071">
      <w:pPr>
        <w:pStyle w:val="27"/>
        <w:numPr>
          <w:ilvl w:val="1"/>
          <w:numId w:val="9"/>
        </w:numPr>
        <w:tabs>
          <w:tab w:val="left" w:pos="1210"/>
        </w:tabs>
        <w:spacing w:before="161" w:line="360" w:lineRule="auto"/>
        <w:ind w:left="1209" w:hanging="541"/>
        <w:rPr>
          <w:sz w:val="21"/>
          <w:szCs w:val="21"/>
          <w:highlight w:val="none"/>
        </w:rPr>
      </w:pPr>
      <w:r>
        <w:rPr>
          <w:sz w:val="21"/>
          <w:szCs w:val="21"/>
          <w:highlight w:val="none"/>
        </w:rPr>
        <w:t>评审将在严格保密的情况下进行。</w:t>
      </w:r>
    </w:p>
    <w:p w14:paraId="27CAEFAD">
      <w:pPr>
        <w:pStyle w:val="27"/>
        <w:numPr>
          <w:ilvl w:val="1"/>
          <w:numId w:val="9"/>
        </w:numPr>
        <w:tabs>
          <w:tab w:val="left" w:pos="1272"/>
        </w:tabs>
        <w:spacing w:before="158" w:line="360" w:lineRule="auto"/>
        <w:ind w:left="234" w:right="368" w:firstLine="434"/>
        <w:rPr>
          <w:sz w:val="21"/>
          <w:szCs w:val="21"/>
          <w:highlight w:val="none"/>
        </w:rPr>
      </w:pPr>
      <w:r>
        <w:rPr>
          <w:sz w:val="21"/>
          <w:szCs w:val="21"/>
          <w:highlight w:val="none"/>
        </w:rPr>
        <w:t>有关人员应当遵守评审工作纪律，不得泄露评审文件、评审情况和评审中获悉的国家秘密、商业秘密。</w:t>
      </w:r>
    </w:p>
    <w:p w14:paraId="44BB43BA">
      <w:pPr>
        <w:pStyle w:val="6"/>
        <w:numPr>
          <w:ilvl w:val="0"/>
          <w:numId w:val="9"/>
        </w:numPr>
        <w:rPr>
          <w:highlight w:val="none"/>
        </w:rPr>
      </w:pPr>
      <w:r>
        <w:rPr>
          <w:highlight w:val="none"/>
        </w:rPr>
        <w:t>成交结果公告</w:t>
      </w:r>
    </w:p>
    <w:p w14:paraId="23AB5E9A">
      <w:pPr>
        <w:pStyle w:val="27"/>
        <w:numPr>
          <w:ilvl w:val="1"/>
          <w:numId w:val="9"/>
        </w:numPr>
        <w:tabs>
          <w:tab w:val="left" w:pos="1272"/>
        </w:tabs>
        <w:spacing w:before="158" w:line="360" w:lineRule="auto"/>
        <w:ind w:left="234" w:right="368" w:firstLine="434"/>
        <w:rPr>
          <w:sz w:val="21"/>
          <w:szCs w:val="21"/>
          <w:highlight w:val="none"/>
          <w:lang w:val="en-US"/>
        </w:rPr>
      </w:pPr>
      <w:r>
        <w:rPr>
          <w:sz w:val="21"/>
          <w:szCs w:val="21"/>
          <w:highlight w:val="none"/>
        </w:rPr>
        <w:t>为体现</w:t>
      </w:r>
      <w:r>
        <w:rPr>
          <w:sz w:val="21"/>
          <w:szCs w:val="21"/>
          <w:highlight w:val="none"/>
          <w:lang w:val="en-US"/>
        </w:rPr>
        <w:t>“</w:t>
      </w:r>
      <w:r>
        <w:rPr>
          <w:sz w:val="21"/>
          <w:szCs w:val="21"/>
          <w:highlight w:val="none"/>
        </w:rPr>
        <w:t>公开、公平、公正</w:t>
      </w:r>
      <w:r>
        <w:rPr>
          <w:sz w:val="21"/>
          <w:szCs w:val="21"/>
          <w:highlight w:val="none"/>
          <w:lang w:val="en-US"/>
        </w:rPr>
        <w:t>”</w:t>
      </w:r>
      <w:r>
        <w:rPr>
          <w:sz w:val="21"/>
          <w:szCs w:val="21"/>
          <w:highlight w:val="none"/>
        </w:rPr>
        <w:t>的原则</w:t>
      </w:r>
      <w:r>
        <w:rPr>
          <w:sz w:val="21"/>
          <w:szCs w:val="21"/>
          <w:highlight w:val="none"/>
          <w:lang w:val="en-US"/>
        </w:rPr>
        <w:t>，</w:t>
      </w:r>
      <w:r>
        <w:rPr>
          <w:sz w:val="21"/>
          <w:szCs w:val="21"/>
          <w:highlight w:val="none"/>
        </w:rPr>
        <w:t>磋商结束后</w:t>
      </w:r>
      <w:r>
        <w:rPr>
          <w:sz w:val="21"/>
          <w:szCs w:val="21"/>
          <w:highlight w:val="none"/>
          <w:lang w:val="en-US"/>
        </w:rPr>
        <w:t>，</w:t>
      </w:r>
      <w:r>
        <w:rPr>
          <w:sz w:val="21"/>
          <w:szCs w:val="21"/>
          <w:highlight w:val="none"/>
        </w:rPr>
        <w:t>采购代理机构将在</w:t>
      </w:r>
      <w:r>
        <w:rPr>
          <w:rFonts w:hint="eastAsia"/>
          <w:sz w:val="21"/>
          <w:szCs w:val="21"/>
          <w:highlight w:val="none"/>
          <w:lang w:eastAsia="zh-CN"/>
        </w:rPr>
        <w:t>《安徽融城高新技术产业发展集团有限公司网》</w:t>
      </w:r>
      <w:r>
        <w:rPr>
          <w:sz w:val="21"/>
          <w:szCs w:val="21"/>
          <w:highlight w:val="none"/>
        </w:rPr>
        <w:t>上发布成交结果公告。</w:t>
      </w:r>
    </w:p>
    <w:p w14:paraId="6DF26888">
      <w:pPr>
        <w:pStyle w:val="27"/>
        <w:numPr>
          <w:ilvl w:val="1"/>
          <w:numId w:val="9"/>
        </w:numPr>
        <w:tabs>
          <w:tab w:val="left" w:pos="1272"/>
        </w:tabs>
        <w:spacing w:before="56" w:line="360" w:lineRule="auto"/>
        <w:ind w:left="234" w:right="369" w:firstLine="434"/>
        <w:rPr>
          <w:sz w:val="21"/>
          <w:szCs w:val="21"/>
          <w:highlight w:val="none"/>
        </w:rPr>
      </w:pPr>
      <w:r>
        <w:rPr>
          <w:spacing w:val="-1"/>
          <w:sz w:val="21"/>
          <w:szCs w:val="21"/>
          <w:highlight w:val="none"/>
        </w:rPr>
        <w:t>成交结果公告内容应当包括采购人及其委托的采购代理机构的名称、</w:t>
      </w:r>
      <w:r>
        <w:rPr>
          <w:sz w:val="21"/>
          <w:szCs w:val="21"/>
          <w:highlight w:val="none"/>
        </w:rPr>
        <w:t>地址、联系方式，项目名称和项目编号，成交供应商名称、地址和成交金额，主要成交标的的名称、规格型号、数量、单价、服务要求，成交结果公告期限、评审专家名单以及供应商须知前附表中约定进行公告的内容。</w:t>
      </w:r>
    </w:p>
    <w:p w14:paraId="5C99A586">
      <w:pPr>
        <w:pStyle w:val="27"/>
        <w:tabs>
          <w:tab w:val="left" w:pos="1272"/>
        </w:tabs>
        <w:spacing w:before="158" w:line="360" w:lineRule="auto"/>
        <w:ind w:left="668" w:right="368" w:firstLine="0"/>
        <w:rPr>
          <w:b/>
          <w:sz w:val="21"/>
          <w:szCs w:val="21"/>
          <w:highlight w:val="none"/>
        </w:rPr>
      </w:pPr>
      <w:r>
        <w:rPr>
          <w:rFonts w:hint="eastAsia"/>
          <w:b/>
          <w:sz w:val="21"/>
          <w:szCs w:val="21"/>
          <w:highlight w:val="none"/>
        </w:rPr>
        <w:t>注：</w:t>
      </w:r>
    </w:p>
    <w:p w14:paraId="47203F3D">
      <w:pPr>
        <w:pStyle w:val="27"/>
        <w:tabs>
          <w:tab w:val="left" w:pos="1272"/>
        </w:tabs>
        <w:spacing w:before="158" w:line="360" w:lineRule="auto"/>
        <w:ind w:left="232" w:right="369" w:firstLine="577" w:firstLineChars="275"/>
        <w:rPr>
          <w:sz w:val="21"/>
          <w:szCs w:val="21"/>
          <w:highlight w:val="none"/>
        </w:rPr>
      </w:pPr>
      <w:r>
        <w:rPr>
          <w:rFonts w:hint="eastAsia"/>
          <w:sz w:val="21"/>
          <w:szCs w:val="21"/>
          <w:highlight w:val="none"/>
        </w:rPr>
        <w:t>1、采购人定标前对成交候选人进行信用查询，如成交候选人存在不良信用记录，采购人应取消成交候选人资格，并按规定予以处理。</w:t>
      </w:r>
    </w:p>
    <w:p w14:paraId="153D58A7">
      <w:pPr>
        <w:pStyle w:val="27"/>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sz w:val="21"/>
          <w:szCs w:val="21"/>
          <w:highlight w:val="none"/>
          <w:lang w:eastAsia="zh-CN"/>
        </w:rPr>
        <w:t>政府</w:t>
      </w:r>
      <w:r>
        <w:rPr>
          <w:rFonts w:hint="eastAsia"/>
          <w:sz w:val="21"/>
          <w:szCs w:val="21"/>
          <w:highlight w:val="none"/>
        </w:rPr>
        <w:t>采购法实施条例》第十九条规定的行政处罚记录。</w:t>
      </w:r>
    </w:p>
    <w:p w14:paraId="2EF27AB5">
      <w:pPr>
        <w:pStyle w:val="27"/>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3、以联合体形式参加磋商的，联合体任何成员存在以上不良信用记录的，不得确定为成交供应商。</w:t>
      </w:r>
    </w:p>
    <w:p w14:paraId="2A7C42F5">
      <w:pPr>
        <w:pStyle w:val="27"/>
        <w:tabs>
          <w:tab w:val="left" w:pos="1272"/>
        </w:tabs>
        <w:spacing w:before="158" w:line="360" w:lineRule="auto"/>
        <w:ind w:left="232" w:right="369" w:firstLine="577" w:firstLineChars="275"/>
        <w:rPr>
          <w:sz w:val="21"/>
          <w:szCs w:val="21"/>
          <w:highlight w:val="none"/>
        </w:rPr>
      </w:pPr>
      <w:r>
        <w:rPr>
          <w:rFonts w:hint="eastAsia"/>
          <w:sz w:val="21"/>
          <w:szCs w:val="21"/>
          <w:highlight w:val="none"/>
        </w:rPr>
        <w:t>4、信用信息查询渠道：</w:t>
      </w:r>
      <w:r>
        <w:rPr>
          <w:rFonts w:hint="eastAsia"/>
          <w:sz w:val="21"/>
          <w:szCs w:val="21"/>
          <w:highlight w:val="none"/>
          <w:lang w:eastAsia="zh-CN"/>
        </w:rPr>
        <w:t>《</w:t>
      </w:r>
      <w:r>
        <w:rPr>
          <w:rFonts w:hint="eastAsia"/>
          <w:sz w:val="21"/>
          <w:szCs w:val="21"/>
          <w:highlight w:val="none"/>
          <w:lang w:val="en-US" w:eastAsia="zh-CN"/>
        </w:rPr>
        <w:t>中国政府采购网</w:t>
      </w:r>
      <w:r>
        <w:rPr>
          <w:rFonts w:hint="eastAsia"/>
          <w:sz w:val="21"/>
          <w:szCs w:val="21"/>
          <w:highlight w:val="none"/>
          <w:lang w:eastAsia="zh-CN"/>
        </w:rPr>
        <w:t>》</w:t>
      </w:r>
      <w:r>
        <w:rPr>
          <w:rFonts w:hint="eastAsia"/>
          <w:sz w:val="21"/>
          <w:szCs w:val="21"/>
          <w:highlight w:val="none"/>
        </w:rPr>
        <w:t xml:space="preserve">（www.ccgp.gov.cn）、“信用中国”网站（www.creditchina.gov.cn）。 </w:t>
      </w:r>
    </w:p>
    <w:p w14:paraId="4B667D46">
      <w:pPr>
        <w:pStyle w:val="6"/>
        <w:numPr>
          <w:ilvl w:val="0"/>
          <w:numId w:val="9"/>
        </w:numPr>
        <w:rPr>
          <w:highlight w:val="none"/>
        </w:rPr>
      </w:pPr>
      <w:r>
        <w:rPr>
          <w:highlight w:val="none"/>
        </w:rPr>
        <w:t>成交通知书</w:t>
      </w:r>
    </w:p>
    <w:p w14:paraId="1E62B867">
      <w:pPr>
        <w:pStyle w:val="27"/>
        <w:numPr>
          <w:ilvl w:val="1"/>
          <w:numId w:val="9"/>
        </w:numPr>
        <w:tabs>
          <w:tab w:val="left" w:pos="1272"/>
        </w:tabs>
        <w:spacing w:before="160" w:line="360" w:lineRule="auto"/>
        <w:ind w:left="234" w:right="368" w:firstLine="434"/>
        <w:jc w:val="both"/>
        <w:rPr>
          <w:sz w:val="21"/>
          <w:szCs w:val="21"/>
          <w:highlight w:val="none"/>
        </w:rPr>
      </w:pPr>
      <w:r>
        <w:rPr>
          <w:sz w:val="21"/>
          <w:szCs w:val="21"/>
          <w:highlight w:val="none"/>
        </w:rPr>
        <w:t>采购代理机构发布成交结果公告的同时以</w:t>
      </w:r>
      <w:r>
        <w:rPr>
          <w:sz w:val="21"/>
          <w:szCs w:val="21"/>
          <w:highlight w:val="none"/>
          <w:u w:val="single"/>
        </w:rPr>
        <w:t>供应商须知前附表</w:t>
      </w:r>
      <w:r>
        <w:rPr>
          <w:spacing w:val="-3"/>
          <w:sz w:val="21"/>
          <w:szCs w:val="21"/>
          <w:highlight w:val="none"/>
        </w:rPr>
        <w:t>规定的形</w:t>
      </w:r>
      <w:r>
        <w:rPr>
          <w:sz w:val="21"/>
          <w:szCs w:val="21"/>
          <w:highlight w:val="none"/>
        </w:rPr>
        <w:t>式向成交供应商发出成交通知书。</w:t>
      </w:r>
    </w:p>
    <w:p w14:paraId="3C38B468">
      <w:pPr>
        <w:pStyle w:val="27"/>
        <w:numPr>
          <w:ilvl w:val="1"/>
          <w:numId w:val="9"/>
        </w:numPr>
        <w:tabs>
          <w:tab w:val="left" w:pos="1272"/>
        </w:tabs>
        <w:spacing w:before="5" w:line="360" w:lineRule="auto"/>
        <w:ind w:left="234" w:right="373" w:firstLine="434"/>
        <w:jc w:val="both"/>
        <w:rPr>
          <w:sz w:val="21"/>
          <w:szCs w:val="21"/>
          <w:highlight w:val="none"/>
        </w:rPr>
      </w:pPr>
      <w:r>
        <w:rPr>
          <w:spacing w:val="-1"/>
          <w:sz w:val="21"/>
          <w:szCs w:val="21"/>
          <w:highlight w:val="none"/>
        </w:rPr>
        <w:t>成交通知书对采购人和成交供应商具有同等法律效力。成交通知书发</w:t>
      </w:r>
      <w:r>
        <w:rPr>
          <w:sz w:val="21"/>
          <w:szCs w:val="21"/>
          <w:highlight w:val="none"/>
        </w:rPr>
        <w:t>出以后，采购人改变成交结果或者成交供应商放弃成交资格，应当承担相应的法律责任。</w:t>
      </w:r>
    </w:p>
    <w:p w14:paraId="77BFB53B">
      <w:pPr>
        <w:pStyle w:val="27"/>
        <w:tabs>
          <w:tab w:val="left" w:pos="1210"/>
        </w:tabs>
        <w:spacing w:line="360" w:lineRule="auto"/>
        <w:ind w:left="671" w:right="4315" w:firstLine="0"/>
        <w:rPr>
          <w:spacing w:val="-2"/>
          <w:sz w:val="21"/>
          <w:szCs w:val="21"/>
          <w:highlight w:val="none"/>
        </w:rPr>
      </w:pPr>
      <w:r>
        <w:rPr>
          <w:rFonts w:hint="eastAsia"/>
          <w:spacing w:val="-2"/>
          <w:sz w:val="21"/>
          <w:szCs w:val="21"/>
          <w:highlight w:val="none"/>
        </w:rPr>
        <w:t xml:space="preserve">28.3 </w:t>
      </w:r>
      <w:r>
        <w:rPr>
          <w:spacing w:val="-2"/>
          <w:sz w:val="21"/>
          <w:szCs w:val="21"/>
          <w:highlight w:val="none"/>
        </w:rPr>
        <w:t>成交通知书是合同的组成部分。</w:t>
      </w:r>
    </w:p>
    <w:p w14:paraId="2156A396">
      <w:pPr>
        <w:pStyle w:val="6"/>
        <w:numPr>
          <w:ilvl w:val="0"/>
          <w:numId w:val="9"/>
        </w:numPr>
        <w:rPr>
          <w:highlight w:val="none"/>
        </w:rPr>
      </w:pPr>
      <w:r>
        <w:rPr>
          <w:highlight w:val="none"/>
        </w:rPr>
        <w:t>告知磋商结果</w:t>
      </w:r>
    </w:p>
    <w:p w14:paraId="6D8BE072">
      <w:pPr>
        <w:pStyle w:val="27"/>
        <w:numPr>
          <w:ilvl w:val="1"/>
          <w:numId w:val="11"/>
        </w:numPr>
        <w:tabs>
          <w:tab w:val="left" w:pos="1272"/>
        </w:tabs>
        <w:spacing w:line="360" w:lineRule="auto"/>
        <w:ind w:right="365" w:firstLine="434"/>
        <w:jc w:val="both"/>
        <w:rPr>
          <w:sz w:val="21"/>
          <w:szCs w:val="21"/>
          <w:highlight w:val="none"/>
        </w:rPr>
      </w:pPr>
      <w:r>
        <w:rPr>
          <w:sz w:val="21"/>
          <w:szCs w:val="21"/>
          <w:highlight w:val="none"/>
        </w:rPr>
        <w:t>在公告成交结果的同时，采购代理机构同时以</w:t>
      </w:r>
      <w:r>
        <w:rPr>
          <w:sz w:val="21"/>
          <w:szCs w:val="21"/>
          <w:highlight w:val="none"/>
          <w:u w:val="single"/>
        </w:rPr>
        <w:t>供应商须知前附表</w:t>
      </w:r>
      <w:r>
        <w:rPr>
          <w:sz w:val="21"/>
          <w:szCs w:val="21"/>
          <w:highlight w:val="none"/>
        </w:rPr>
        <w:t>规定的形式告知未成交供应商本人的评审得分和排序。</w:t>
      </w:r>
    </w:p>
    <w:p w14:paraId="669763FC">
      <w:pPr>
        <w:pStyle w:val="27"/>
        <w:numPr>
          <w:ilvl w:val="1"/>
          <w:numId w:val="11"/>
        </w:numPr>
        <w:tabs>
          <w:tab w:val="left" w:pos="1272"/>
        </w:tabs>
        <w:spacing w:line="360" w:lineRule="auto"/>
        <w:ind w:right="365" w:firstLine="434"/>
        <w:jc w:val="both"/>
        <w:rPr>
          <w:sz w:val="21"/>
          <w:szCs w:val="21"/>
          <w:highlight w:val="none"/>
        </w:rPr>
      </w:pPr>
      <w:r>
        <w:rPr>
          <w:sz w:val="21"/>
          <w:szCs w:val="21"/>
          <w:highlight w:val="none"/>
        </w:rPr>
        <w:t>采购代理机构对未成交的供应商不做未成交原因的解释。</w:t>
      </w:r>
    </w:p>
    <w:p w14:paraId="2656D005">
      <w:pPr>
        <w:pStyle w:val="6"/>
        <w:numPr>
          <w:ilvl w:val="0"/>
          <w:numId w:val="9"/>
        </w:numPr>
        <w:rPr>
          <w:highlight w:val="none"/>
        </w:rPr>
      </w:pPr>
      <w:r>
        <w:rPr>
          <w:highlight w:val="none"/>
        </w:rPr>
        <w:t>履约保证金</w:t>
      </w:r>
    </w:p>
    <w:p w14:paraId="71EBD7BA">
      <w:pPr>
        <w:pStyle w:val="27"/>
        <w:numPr>
          <w:ilvl w:val="1"/>
          <w:numId w:val="12"/>
        </w:numPr>
        <w:tabs>
          <w:tab w:val="left" w:pos="1210"/>
        </w:tabs>
        <w:spacing w:line="360" w:lineRule="auto"/>
        <w:ind w:hanging="541"/>
        <w:rPr>
          <w:sz w:val="21"/>
          <w:szCs w:val="21"/>
          <w:highlight w:val="none"/>
        </w:rPr>
      </w:pPr>
      <w:r>
        <w:rPr>
          <w:sz w:val="21"/>
          <w:szCs w:val="21"/>
          <w:highlight w:val="none"/>
        </w:rPr>
        <w:t>成交供应商应按照</w:t>
      </w:r>
      <w:r>
        <w:rPr>
          <w:sz w:val="21"/>
          <w:szCs w:val="21"/>
          <w:highlight w:val="none"/>
          <w:u w:val="single"/>
        </w:rPr>
        <w:t>供应商须知前附表</w:t>
      </w:r>
      <w:r>
        <w:rPr>
          <w:sz w:val="21"/>
          <w:szCs w:val="21"/>
          <w:highlight w:val="none"/>
        </w:rPr>
        <w:t>规定缴纳履约保证金。</w:t>
      </w:r>
    </w:p>
    <w:p w14:paraId="3555D879">
      <w:pPr>
        <w:pStyle w:val="27"/>
        <w:numPr>
          <w:ilvl w:val="1"/>
          <w:numId w:val="12"/>
        </w:numPr>
        <w:tabs>
          <w:tab w:val="left" w:pos="1272"/>
        </w:tabs>
        <w:spacing w:before="156" w:line="360" w:lineRule="auto"/>
        <w:ind w:left="234" w:right="373" w:firstLine="434"/>
        <w:jc w:val="both"/>
        <w:rPr>
          <w:sz w:val="21"/>
          <w:szCs w:val="21"/>
          <w:highlight w:val="none"/>
        </w:rPr>
      </w:pPr>
      <w:r>
        <w:rPr>
          <w:spacing w:val="-1"/>
          <w:sz w:val="21"/>
          <w:szCs w:val="21"/>
          <w:highlight w:val="none"/>
        </w:rPr>
        <w:t>如果成交供应商没有按照上述履约保证金的规定执行，将视为放弃成</w:t>
      </w:r>
      <w:r>
        <w:rPr>
          <w:sz w:val="21"/>
          <w:szCs w:val="21"/>
          <w:highlight w:val="none"/>
        </w:rPr>
        <w:t>交资格。在此情况下，采购人可确定下一成交候选供应商为成交供应商，也可以重新开展采购活动。</w:t>
      </w:r>
    </w:p>
    <w:p w14:paraId="50EF5C4B">
      <w:pPr>
        <w:pStyle w:val="6"/>
        <w:numPr>
          <w:ilvl w:val="0"/>
          <w:numId w:val="13"/>
        </w:numPr>
        <w:rPr>
          <w:highlight w:val="none"/>
        </w:rPr>
      </w:pPr>
      <w:r>
        <w:rPr>
          <w:highlight w:val="none"/>
        </w:rPr>
        <w:t>成交服务费</w:t>
      </w:r>
    </w:p>
    <w:p w14:paraId="2623F840">
      <w:pPr>
        <w:pStyle w:val="27"/>
        <w:tabs>
          <w:tab w:val="left" w:pos="1210"/>
        </w:tabs>
        <w:spacing w:before="158" w:line="360" w:lineRule="auto"/>
        <w:ind w:left="671" w:right="1434" w:firstLine="0"/>
        <w:rPr>
          <w:spacing w:val="-3"/>
          <w:sz w:val="21"/>
          <w:szCs w:val="21"/>
          <w:highlight w:val="none"/>
        </w:rPr>
      </w:pPr>
      <w:r>
        <w:rPr>
          <w:rFonts w:hint="eastAsia"/>
          <w:sz w:val="21"/>
          <w:szCs w:val="21"/>
          <w:highlight w:val="none"/>
        </w:rPr>
        <w:t>31.1</w:t>
      </w:r>
      <w:r>
        <w:rPr>
          <w:sz w:val="21"/>
          <w:szCs w:val="21"/>
          <w:highlight w:val="none"/>
        </w:rPr>
        <w:t>本项目成交服务费的收取按</w:t>
      </w:r>
      <w:r>
        <w:rPr>
          <w:sz w:val="21"/>
          <w:szCs w:val="21"/>
          <w:highlight w:val="none"/>
          <w:u w:val="single"/>
        </w:rPr>
        <w:t>供应商须知前附表</w:t>
      </w:r>
      <w:r>
        <w:rPr>
          <w:spacing w:val="-3"/>
          <w:sz w:val="21"/>
          <w:szCs w:val="21"/>
          <w:highlight w:val="none"/>
        </w:rPr>
        <w:t>的规定执行。</w:t>
      </w:r>
    </w:p>
    <w:p w14:paraId="78FDD021">
      <w:pPr>
        <w:pStyle w:val="6"/>
        <w:numPr>
          <w:ilvl w:val="0"/>
          <w:numId w:val="13"/>
        </w:numPr>
        <w:rPr>
          <w:highlight w:val="none"/>
        </w:rPr>
      </w:pPr>
      <w:r>
        <w:rPr>
          <w:highlight w:val="none"/>
        </w:rPr>
        <w:t>签订合同</w:t>
      </w:r>
    </w:p>
    <w:p w14:paraId="0BB98237">
      <w:pPr>
        <w:pStyle w:val="27"/>
        <w:numPr>
          <w:ilvl w:val="1"/>
          <w:numId w:val="14"/>
        </w:numPr>
        <w:tabs>
          <w:tab w:val="left" w:pos="1219"/>
        </w:tabs>
        <w:spacing w:line="360" w:lineRule="auto"/>
        <w:rPr>
          <w:sz w:val="21"/>
          <w:szCs w:val="21"/>
          <w:highlight w:val="none"/>
        </w:rPr>
      </w:pPr>
      <w:r>
        <w:rPr>
          <w:spacing w:val="-3"/>
          <w:sz w:val="21"/>
          <w:szCs w:val="21"/>
          <w:highlight w:val="none"/>
        </w:rPr>
        <w:t xml:space="preserve">采购人与成交供应商应当自发出成交通知书之日起 </w:t>
      </w:r>
      <w:r>
        <w:rPr>
          <w:sz w:val="21"/>
          <w:szCs w:val="21"/>
          <w:highlight w:val="none"/>
        </w:rPr>
        <w:t>30</w:t>
      </w:r>
      <w:r>
        <w:rPr>
          <w:spacing w:val="-4"/>
          <w:sz w:val="21"/>
          <w:szCs w:val="21"/>
          <w:highlight w:val="none"/>
        </w:rPr>
        <w:t xml:space="preserve"> 日内签订合同。</w:t>
      </w:r>
    </w:p>
    <w:p w14:paraId="33553199">
      <w:pPr>
        <w:pStyle w:val="27"/>
        <w:numPr>
          <w:ilvl w:val="1"/>
          <w:numId w:val="14"/>
        </w:numPr>
        <w:tabs>
          <w:tab w:val="left" w:pos="1272"/>
        </w:tabs>
        <w:spacing w:before="161" w:line="360" w:lineRule="auto"/>
        <w:ind w:left="234" w:right="373" w:firstLine="434"/>
        <w:jc w:val="both"/>
        <w:rPr>
          <w:sz w:val="21"/>
          <w:szCs w:val="21"/>
          <w:highlight w:val="none"/>
        </w:rPr>
      </w:pPr>
      <w:r>
        <w:rPr>
          <w:spacing w:val="-1"/>
          <w:sz w:val="21"/>
          <w:szCs w:val="21"/>
          <w:highlight w:val="none"/>
        </w:rPr>
        <w:t>磋商文件、成交供应商的响应文件及其澄清文件等，均为签订合同的</w:t>
      </w:r>
      <w:r>
        <w:rPr>
          <w:sz w:val="21"/>
          <w:szCs w:val="21"/>
          <w:highlight w:val="none"/>
        </w:rPr>
        <w:t>依据。</w:t>
      </w:r>
    </w:p>
    <w:p w14:paraId="6B5C86BE">
      <w:pPr>
        <w:pStyle w:val="27"/>
        <w:numPr>
          <w:ilvl w:val="1"/>
          <w:numId w:val="14"/>
        </w:numPr>
        <w:tabs>
          <w:tab w:val="left" w:pos="1306"/>
        </w:tabs>
        <w:spacing w:before="5" w:line="360" w:lineRule="auto"/>
        <w:ind w:left="234" w:right="372" w:firstLine="470"/>
        <w:jc w:val="both"/>
        <w:rPr>
          <w:sz w:val="21"/>
          <w:szCs w:val="21"/>
          <w:highlight w:val="none"/>
        </w:rPr>
      </w:pPr>
      <w:r>
        <w:rPr>
          <w:spacing w:val="-1"/>
          <w:sz w:val="21"/>
          <w:szCs w:val="21"/>
          <w:highlight w:val="none"/>
        </w:rPr>
        <w:t>成交供应商拒绝与采购人签订合同的，采购人可以按照评审报告推荐</w:t>
      </w:r>
      <w:r>
        <w:rPr>
          <w:sz w:val="21"/>
          <w:szCs w:val="21"/>
          <w:highlight w:val="none"/>
        </w:rPr>
        <w:t>的成交候选供应商名单排序，确定下一成交候选供应商为成交供应商，也可以重新开展采购活动。成交供应商拒绝签订</w:t>
      </w:r>
      <w:r>
        <w:rPr>
          <w:rFonts w:hint="eastAsia"/>
          <w:sz w:val="21"/>
          <w:szCs w:val="21"/>
          <w:highlight w:val="none"/>
        </w:rPr>
        <w:t>采购</w:t>
      </w:r>
      <w:r>
        <w:rPr>
          <w:sz w:val="21"/>
          <w:szCs w:val="21"/>
          <w:highlight w:val="none"/>
        </w:rPr>
        <w:t>合同的不得参加对该项目重新开展的采购活动。</w:t>
      </w:r>
    </w:p>
    <w:p w14:paraId="0D394385">
      <w:pPr>
        <w:pStyle w:val="6"/>
        <w:numPr>
          <w:ilvl w:val="0"/>
          <w:numId w:val="15"/>
        </w:numPr>
        <w:rPr>
          <w:highlight w:val="none"/>
        </w:rPr>
      </w:pPr>
      <w:r>
        <w:rPr>
          <w:highlight w:val="none"/>
        </w:rPr>
        <w:t>廉洁自律规定</w:t>
      </w:r>
    </w:p>
    <w:p w14:paraId="225E22D5">
      <w:pPr>
        <w:pStyle w:val="27"/>
        <w:tabs>
          <w:tab w:val="left" w:pos="1306"/>
        </w:tabs>
        <w:spacing w:before="5" w:line="360" w:lineRule="auto"/>
        <w:ind w:left="703" w:right="374" w:firstLine="416" w:firstLineChars="200"/>
        <w:jc w:val="both"/>
        <w:rPr>
          <w:spacing w:val="-1"/>
          <w:sz w:val="21"/>
          <w:szCs w:val="21"/>
          <w:highlight w:val="none"/>
        </w:rPr>
      </w:pPr>
      <w:r>
        <w:rPr>
          <w:rFonts w:hint="eastAsia"/>
          <w:spacing w:val="-1"/>
          <w:sz w:val="21"/>
          <w:szCs w:val="21"/>
          <w:highlight w:val="none"/>
        </w:rPr>
        <w:t>33.1</w:t>
      </w:r>
      <w:r>
        <w:rPr>
          <w:spacing w:val="-1"/>
          <w:sz w:val="21"/>
          <w:szCs w:val="21"/>
          <w:highlight w:val="none"/>
        </w:rPr>
        <w:t>采购代理机构工作人员不得以不正当手段获取采购代理业务，不得与采购人、供应商恶意串通。</w:t>
      </w:r>
    </w:p>
    <w:p w14:paraId="4573FFBD">
      <w:pPr>
        <w:pStyle w:val="27"/>
        <w:tabs>
          <w:tab w:val="left" w:pos="1306"/>
        </w:tabs>
        <w:spacing w:before="5" w:line="360" w:lineRule="auto"/>
        <w:ind w:left="703" w:right="374" w:firstLine="416" w:firstLineChars="200"/>
        <w:jc w:val="both"/>
        <w:rPr>
          <w:rFonts w:ascii="宋体" w:hAnsi="宋体"/>
          <w:sz w:val="21"/>
          <w:szCs w:val="21"/>
          <w:highlight w:val="none"/>
        </w:rPr>
      </w:pPr>
      <w:r>
        <w:rPr>
          <w:rFonts w:hint="eastAsia" w:ascii="宋体" w:hAnsi="宋体" w:eastAsia="宋体" w:cs="宋体"/>
          <w:spacing w:val="-1"/>
          <w:kern w:val="0"/>
          <w:sz w:val="21"/>
          <w:szCs w:val="21"/>
          <w:highlight w:val="none"/>
          <w:lang w:val="zh-CN" w:eastAsia="zh-CN" w:bidi="zh-CN"/>
        </w:rPr>
        <w:t>33.2采购代理机构工作人员不得接受采购人或者供应商组织的宴请、旅游、娱乐，不得收受礼品</w:t>
      </w:r>
      <w:r>
        <w:rPr>
          <w:rFonts w:ascii="宋体" w:hAnsi="宋体"/>
          <w:sz w:val="21"/>
          <w:szCs w:val="21"/>
          <w:highlight w:val="none"/>
        </w:rPr>
        <w:t>、现金、有价证券等，不得向采购人或者供应商报销应当由个人承担的费用。</w:t>
      </w:r>
    </w:p>
    <w:p w14:paraId="2362D20B">
      <w:pPr>
        <w:pStyle w:val="6"/>
        <w:numPr>
          <w:ilvl w:val="0"/>
          <w:numId w:val="15"/>
        </w:numPr>
        <w:rPr>
          <w:highlight w:val="none"/>
        </w:rPr>
      </w:pPr>
      <w:r>
        <w:rPr>
          <w:highlight w:val="none"/>
        </w:rPr>
        <w:t>质疑的提出与接收</w:t>
      </w:r>
    </w:p>
    <w:p w14:paraId="2FC3E207">
      <w:pPr>
        <w:pStyle w:val="27"/>
        <w:numPr>
          <w:ilvl w:val="1"/>
          <w:numId w:val="15"/>
        </w:numPr>
        <w:tabs>
          <w:tab w:val="left" w:pos="1210"/>
        </w:tabs>
        <w:spacing w:before="161" w:line="360" w:lineRule="auto"/>
        <w:ind w:left="234" w:right="373" w:firstLine="434"/>
        <w:jc w:val="both"/>
        <w:rPr>
          <w:sz w:val="21"/>
          <w:szCs w:val="21"/>
          <w:highlight w:val="none"/>
        </w:rPr>
      </w:pPr>
      <w:r>
        <w:rPr>
          <w:spacing w:val="-13"/>
          <w:sz w:val="21"/>
          <w:szCs w:val="21"/>
          <w:highlight w:val="none"/>
        </w:rPr>
        <w:t>供应商认为磋商文件、采购过程、成交结果使自己的权益受到损害的， 可以</w:t>
      </w:r>
      <w:r>
        <w:rPr>
          <w:sz w:val="21"/>
          <w:szCs w:val="21"/>
          <w:highlight w:val="none"/>
        </w:rPr>
        <w:t>向采购人或其委托的采购代理机构提出质疑。</w:t>
      </w:r>
    </w:p>
    <w:p w14:paraId="41749CC7">
      <w:pPr>
        <w:pStyle w:val="27"/>
        <w:numPr>
          <w:ilvl w:val="1"/>
          <w:numId w:val="15"/>
        </w:numPr>
        <w:tabs>
          <w:tab w:val="left" w:pos="1272"/>
        </w:tabs>
        <w:spacing w:line="360" w:lineRule="auto"/>
        <w:ind w:left="234" w:right="367" w:firstLine="434"/>
        <w:jc w:val="both"/>
        <w:rPr>
          <w:sz w:val="21"/>
          <w:szCs w:val="21"/>
          <w:highlight w:val="none"/>
        </w:rPr>
      </w:pPr>
      <w:r>
        <w:rPr>
          <w:sz w:val="21"/>
          <w:szCs w:val="21"/>
          <w:highlight w:val="none"/>
        </w:rPr>
        <w:t>质疑供应商应在质疑期内以书面形式提出质疑，超出法定质疑期提交的质疑将被拒绝。针对同一采购程序环节的质疑应一次性提出。</w:t>
      </w:r>
      <w:r>
        <w:rPr>
          <w:spacing w:val="-8"/>
          <w:sz w:val="21"/>
          <w:szCs w:val="21"/>
          <w:highlight w:val="none"/>
        </w:rPr>
        <w:t>超出质疑期的、重复提出的、分次提出的或内容、形式不符合</w:t>
      </w:r>
      <w:r>
        <w:rPr>
          <w:rFonts w:hint="eastAsia"/>
          <w:spacing w:val="-8"/>
          <w:sz w:val="21"/>
          <w:szCs w:val="21"/>
          <w:highlight w:val="none"/>
        </w:rPr>
        <w:t>磋商文件要求</w:t>
      </w:r>
      <w:r>
        <w:rPr>
          <w:sz w:val="21"/>
          <w:szCs w:val="21"/>
          <w:highlight w:val="none"/>
        </w:rPr>
        <w:t>的，质疑供应商将依法承担不利后果。</w:t>
      </w:r>
    </w:p>
    <w:p w14:paraId="577E6E5F">
      <w:pPr>
        <w:pStyle w:val="6"/>
        <w:numPr>
          <w:ilvl w:val="0"/>
          <w:numId w:val="15"/>
        </w:numPr>
        <w:rPr>
          <w:highlight w:val="none"/>
        </w:rPr>
      </w:pPr>
      <w:r>
        <w:rPr>
          <w:highlight w:val="none"/>
        </w:rPr>
        <w:t>需要补充的其他内容</w:t>
      </w:r>
    </w:p>
    <w:p w14:paraId="1736811F">
      <w:pPr>
        <w:pStyle w:val="2"/>
        <w:spacing w:before="155" w:line="360" w:lineRule="auto"/>
        <w:ind w:left="669"/>
        <w:rPr>
          <w:sz w:val="21"/>
          <w:szCs w:val="21"/>
          <w:highlight w:val="none"/>
        </w:rPr>
      </w:pPr>
      <w:r>
        <w:rPr>
          <w:sz w:val="21"/>
          <w:szCs w:val="21"/>
          <w:highlight w:val="none"/>
        </w:rPr>
        <w:t>需要补充的其他内容，见</w:t>
      </w:r>
      <w:r>
        <w:rPr>
          <w:sz w:val="21"/>
          <w:szCs w:val="21"/>
          <w:highlight w:val="none"/>
          <w:u w:val="single"/>
        </w:rPr>
        <w:t>供应商须知前附表</w:t>
      </w:r>
      <w:r>
        <w:rPr>
          <w:sz w:val="21"/>
          <w:szCs w:val="21"/>
          <w:highlight w:val="none"/>
        </w:rPr>
        <w:t>。</w:t>
      </w:r>
    </w:p>
    <w:p w14:paraId="216EE57D">
      <w:pPr>
        <w:pStyle w:val="27"/>
        <w:tabs>
          <w:tab w:val="left" w:pos="1330"/>
        </w:tabs>
        <w:spacing w:before="161" w:line="360" w:lineRule="auto"/>
        <w:ind w:left="1329" w:firstLine="0"/>
        <w:jc w:val="both"/>
        <w:rPr>
          <w:sz w:val="21"/>
          <w:szCs w:val="21"/>
          <w:highlight w:val="none"/>
        </w:rPr>
      </w:pPr>
    </w:p>
    <w:p w14:paraId="794D0E7D">
      <w:pPr>
        <w:spacing w:line="360" w:lineRule="auto"/>
        <w:rPr>
          <w:rFonts w:ascii="宋体" w:hAnsi="宋体"/>
          <w:highlight w:val="none"/>
        </w:rPr>
      </w:pPr>
    </w:p>
    <w:p w14:paraId="1CB708DF">
      <w:pPr>
        <w:widowControl/>
        <w:spacing w:line="360" w:lineRule="auto"/>
        <w:jc w:val="left"/>
        <w:rPr>
          <w:rFonts w:ascii="宋体" w:hAnsi="宋体"/>
          <w:highlight w:val="none"/>
        </w:rPr>
      </w:pPr>
      <w:r>
        <w:rPr>
          <w:rFonts w:ascii="宋体" w:hAnsi="宋体"/>
          <w:highlight w:val="none"/>
        </w:rPr>
        <w:br w:type="page"/>
      </w:r>
    </w:p>
    <w:p w14:paraId="690D8E4B">
      <w:pPr>
        <w:pStyle w:val="3"/>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r>
        <w:rPr>
          <w:rFonts w:hint="eastAsia" w:ascii="宋体" w:hAnsi="宋体"/>
          <w:sz w:val="32"/>
          <w:szCs w:val="32"/>
          <w:highlight w:val="none"/>
        </w:rPr>
        <w:tab/>
      </w:r>
      <w:bookmarkStart w:id="58" w:name="_Toc14598"/>
      <w:r>
        <w:rPr>
          <w:rFonts w:hint="eastAsia" w:ascii="宋体" w:hAnsi="宋体"/>
          <w:sz w:val="32"/>
          <w:szCs w:val="32"/>
          <w:highlight w:val="none"/>
        </w:rPr>
        <w:t>采购需求</w:t>
      </w:r>
      <w:bookmarkEnd w:id="58"/>
    </w:p>
    <w:p w14:paraId="35CB288E">
      <w:pPr>
        <w:pStyle w:val="6"/>
        <w:rPr>
          <w:highlight w:val="none"/>
        </w:rPr>
      </w:pPr>
      <w:r>
        <w:rPr>
          <w:highlight w:val="none"/>
        </w:rPr>
        <w:t>前注：</w:t>
      </w:r>
    </w:p>
    <w:p w14:paraId="6CBCA3CB">
      <w:pPr>
        <w:pStyle w:val="2"/>
        <w:spacing w:before="160" w:line="360" w:lineRule="auto"/>
        <w:ind w:left="234" w:right="249" w:firstLine="436"/>
        <w:rPr>
          <w:highlight w:val="none"/>
        </w:rPr>
      </w:pPr>
      <w:r>
        <w:rPr>
          <w:sz w:val="21"/>
          <w:szCs w:val="21"/>
          <w:highlight w:val="none"/>
        </w:rPr>
        <w:t>本说明中提出的技术方案仅为参考，如无明确限制，供应商可以进行优化，提供满足用户实际需要的更优（或者性能实质上不低于的）服务方案，且此方案须经磋商小组评审认可</w:t>
      </w:r>
      <w:r>
        <w:rPr>
          <w:highlight w:val="none"/>
        </w:rPr>
        <w:t>。</w:t>
      </w:r>
    </w:p>
    <w:p w14:paraId="5941870D">
      <w:pPr>
        <w:pStyle w:val="6"/>
        <w:rPr>
          <w:rFonts w:hint="eastAsia"/>
          <w:sz w:val="24"/>
          <w:szCs w:val="24"/>
          <w:highlight w:val="none"/>
        </w:rPr>
      </w:pPr>
      <w:r>
        <w:rPr>
          <w:sz w:val="24"/>
          <w:szCs w:val="24"/>
          <w:highlight w:val="none"/>
        </w:rPr>
        <w:t>一、采购需求前附表</w:t>
      </w:r>
    </w:p>
    <w:tbl>
      <w:tblPr>
        <w:tblStyle w:val="17"/>
        <w:tblW w:w="8497"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64EF4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7E6394B5">
            <w:pPr>
              <w:pStyle w:val="25"/>
              <w:spacing w:before="96" w:line="360" w:lineRule="auto"/>
              <w:ind w:left="118" w:right="109"/>
              <w:jc w:val="center"/>
              <w:rPr>
                <w:b/>
                <w:sz w:val="21"/>
                <w:szCs w:val="21"/>
                <w:highlight w:val="none"/>
                <w:lang w:eastAsia="en-US"/>
              </w:rPr>
            </w:pPr>
            <w:r>
              <w:rPr>
                <w:b/>
                <w:sz w:val="21"/>
                <w:szCs w:val="21"/>
                <w:highlight w:val="none"/>
                <w:lang w:eastAsia="en-US"/>
              </w:rPr>
              <w:t>序号</w:t>
            </w:r>
          </w:p>
        </w:tc>
        <w:tc>
          <w:tcPr>
            <w:tcW w:w="2026" w:type="dxa"/>
            <w:shd w:val="clear" w:color="auto" w:fill="auto"/>
            <w:vAlign w:val="center"/>
          </w:tcPr>
          <w:p w14:paraId="42C3C986">
            <w:pPr>
              <w:pStyle w:val="25"/>
              <w:spacing w:before="19" w:line="360" w:lineRule="auto"/>
              <w:ind w:left="510" w:right="502"/>
              <w:jc w:val="center"/>
              <w:rPr>
                <w:b/>
                <w:sz w:val="21"/>
                <w:szCs w:val="21"/>
                <w:highlight w:val="none"/>
                <w:lang w:eastAsia="en-US"/>
              </w:rPr>
            </w:pPr>
            <w:r>
              <w:rPr>
                <w:b/>
                <w:sz w:val="21"/>
                <w:szCs w:val="21"/>
                <w:highlight w:val="none"/>
                <w:lang w:eastAsia="en-US"/>
              </w:rPr>
              <w:t>条款名称</w:t>
            </w:r>
          </w:p>
        </w:tc>
        <w:tc>
          <w:tcPr>
            <w:tcW w:w="5468" w:type="dxa"/>
            <w:shd w:val="clear" w:color="auto" w:fill="auto"/>
            <w:vAlign w:val="center"/>
          </w:tcPr>
          <w:p w14:paraId="4DC65392">
            <w:pPr>
              <w:pStyle w:val="25"/>
              <w:spacing w:before="19" w:line="360" w:lineRule="auto"/>
              <w:ind w:left="1769"/>
              <w:rPr>
                <w:b/>
                <w:sz w:val="21"/>
                <w:szCs w:val="21"/>
                <w:highlight w:val="none"/>
                <w:lang w:eastAsia="en-US"/>
              </w:rPr>
            </w:pPr>
            <w:r>
              <w:rPr>
                <w:b/>
                <w:sz w:val="21"/>
                <w:szCs w:val="21"/>
                <w:highlight w:val="none"/>
                <w:lang w:eastAsia="en-US"/>
              </w:rPr>
              <w:t>内容、说明与要求</w:t>
            </w:r>
          </w:p>
        </w:tc>
      </w:tr>
      <w:tr w14:paraId="3EBB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6F3F61E5">
            <w:pPr>
              <w:pStyle w:val="25"/>
              <w:spacing w:before="95" w:line="360" w:lineRule="auto"/>
              <w:ind w:left="9"/>
              <w:jc w:val="center"/>
              <w:rPr>
                <w:sz w:val="21"/>
                <w:szCs w:val="21"/>
                <w:highlight w:val="none"/>
                <w:lang w:eastAsia="en-US"/>
              </w:rPr>
            </w:pPr>
            <w:r>
              <w:rPr>
                <w:sz w:val="21"/>
                <w:szCs w:val="21"/>
                <w:highlight w:val="none"/>
                <w:lang w:eastAsia="en-US"/>
              </w:rPr>
              <w:t>1</w:t>
            </w:r>
          </w:p>
        </w:tc>
        <w:tc>
          <w:tcPr>
            <w:tcW w:w="2026" w:type="dxa"/>
            <w:shd w:val="clear" w:color="auto" w:fill="auto"/>
            <w:vAlign w:val="center"/>
          </w:tcPr>
          <w:p w14:paraId="6C2FD2FF">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19F5DA3F">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default" w:ascii="宋体" w:hAnsi="宋体" w:eastAsia="宋体" w:cs="宋体"/>
                <w:kern w:val="0"/>
                <w:sz w:val="21"/>
                <w:szCs w:val="21"/>
                <w:highlight w:val="none"/>
                <w:lang w:val="en-US" w:eastAsia="zh-CN" w:bidi="zh-CN"/>
              </w:rPr>
            </w:pPr>
            <w:r>
              <w:rPr>
                <w:rFonts w:hint="eastAsia" w:cs="宋体"/>
                <w:kern w:val="0"/>
                <w:sz w:val="21"/>
                <w:szCs w:val="21"/>
                <w:highlight w:val="none"/>
                <w:lang w:val="en-US" w:eastAsia="zh-CN" w:bidi="zh-CN"/>
              </w:rPr>
              <w:t>合同生效后，支付至合同总价的40%，项目全部完成经验收合格后，一次性付清合同余款。</w:t>
            </w:r>
          </w:p>
        </w:tc>
      </w:tr>
      <w:tr w14:paraId="6DF9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60E261B5">
            <w:pPr>
              <w:pStyle w:val="25"/>
              <w:spacing w:before="95" w:line="360" w:lineRule="auto"/>
              <w:ind w:left="9"/>
              <w:jc w:val="center"/>
              <w:rPr>
                <w:sz w:val="21"/>
                <w:szCs w:val="21"/>
                <w:highlight w:val="none"/>
                <w:lang w:eastAsia="en-US"/>
              </w:rPr>
            </w:pPr>
            <w:r>
              <w:rPr>
                <w:sz w:val="21"/>
                <w:szCs w:val="21"/>
                <w:highlight w:val="none"/>
                <w:lang w:eastAsia="en-US"/>
              </w:rPr>
              <w:t>2</w:t>
            </w:r>
          </w:p>
        </w:tc>
        <w:tc>
          <w:tcPr>
            <w:tcW w:w="2026" w:type="dxa"/>
            <w:shd w:val="clear" w:color="auto" w:fill="auto"/>
            <w:vAlign w:val="center"/>
          </w:tcPr>
          <w:p w14:paraId="5161D4DA">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5D9A8A35">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default" w:ascii="宋体" w:hAnsi="宋体" w:eastAsia="宋体" w:cs="宋体"/>
                <w:kern w:val="0"/>
                <w:sz w:val="21"/>
                <w:szCs w:val="21"/>
                <w:highlight w:val="none"/>
                <w:lang w:val="en-US" w:eastAsia="en-US" w:bidi="zh-CN"/>
              </w:rPr>
            </w:pPr>
            <w:r>
              <w:rPr>
                <w:rFonts w:hint="eastAsia" w:cs="宋体"/>
                <w:kern w:val="0"/>
                <w:sz w:val="21"/>
                <w:szCs w:val="21"/>
                <w:highlight w:val="none"/>
                <w:lang w:val="en-US" w:eastAsia="en-US" w:bidi="zh-CN"/>
              </w:rPr>
              <w:t>界首市</w:t>
            </w:r>
          </w:p>
        </w:tc>
      </w:tr>
      <w:tr w14:paraId="376DC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785633F5">
            <w:pPr>
              <w:pStyle w:val="25"/>
              <w:spacing w:before="95" w:line="360" w:lineRule="auto"/>
              <w:ind w:left="9"/>
              <w:jc w:val="center"/>
              <w:rPr>
                <w:sz w:val="21"/>
                <w:szCs w:val="21"/>
                <w:highlight w:val="none"/>
                <w:lang w:eastAsia="en-US"/>
              </w:rPr>
            </w:pPr>
            <w:r>
              <w:rPr>
                <w:sz w:val="21"/>
                <w:szCs w:val="21"/>
                <w:highlight w:val="none"/>
                <w:lang w:eastAsia="en-US"/>
              </w:rPr>
              <w:t>3</w:t>
            </w:r>
          </w:p>
        </w:tc>
        <w:tc>
          <w:tcPr>
            <w:tcW w:w="2026" w:type="dxa"/>
            <w:shd w:val="clear" w:color="auto" w:fill="auto"/>
            <w:vAlign w:val="center"/>
          </w:tcPr>
          <w:p w14:paraId="20634562">
            <w:pPr>
              <w:pStyle w:val="25"/>
              <w:spacing w:before="19" w:line="360" w:lineRule="auto"/>
              <w:ind w:right="501"/>
              <w:jc w:val="center"/>
              <w:rPr>
                <w:rFonts w:hint="eastAsia" w:cs="宋体"/>
                <w:kern w:val="0"/>
                <w:sz w:val="21"/>
                <w:szCs w:val="21"/>
                <w:highlight w:val="none"/>
                <w:lang w:val="zh-CN" w:eastAsia="en-US" w:bidi="zh-CN"/>
              </w:rPr>
            </w:pPr>
            <w:r>
              <w:rPr>
                <w:rFonts w:hint="eastAsia" w:cs="宋体"/>
                <w:kern w:val="0"/>
                <w:sz w:val="21"/>
                <w:szCs w:val="21"/>
                <w:highlight w:val="none"/>
                <w:lang w:val="en-US" w:eastAsia="en-US" w:bidi="zh-CN"/>
              </w:rPr>
              <w:t xml:space="preserve">    </w:t>
            </w:r>
            <w:r>
              <w:rPr>
                <w:rFonts w:hint="eastAsia" w:cs="宋体"/>
                <w:kern w:val="0"/>
                <w:sz w:val="21"/>
                <w:szCs w:val="21"/>
                <w:highlight w:val="none"/>
                <w:lang w:val="zh-CN" w:eastAsia="en-US" w:bidi="zh-CN"/>
              </w:rPr>
              <w:t>服务期限</w:t>
            </w:r>
          </w:p>
        </w:tc>
        <w:tc>
          <w:tcPr>
            <w:tcW w:w="5468" w:type="dxa"/>
            <w:shd w:val="clear" w:color="auto" w:fill="auto"/>
            <w:vAlign w:val="center"/>
          </w:tcPr>
          <w:p w14:paraId="62C30D8D">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en-US" w:bidi="zh-CN"/>
              </w:rPr>
            </w:pPr>
            <w:r>
              <w:rPr>
                <w:rFonts w:hint="eastAsia" w:cs="宋体"/>
                <w:kern w:val="0"/>
                <w:sz w:val="21"/>
                <w:szCs w:val="21"/>
                <w:highlight w:val="none"/>
                <w:lang w:val="en-US" w:eastAsia="en-US" w:bidi="zh-CN"/>
              </w:rPr>
              <w:t>合同签订后三个月内完成全部人力资源咨询工作，出具认可的报告、制度及方案。</w:t>
            </w:r>
          </w:p>
        </w:tc>
      </w:tr>
    </w:tbl>
    <w:p w14:paraId="2E5C943F">
      <w:pPr>
        <w:pStyle w:val="6"/>
        <w:rPr>
          <w:rFonts w:hint="eastAsia" w:eastAsia="宋体" w:cs="Times New Roman"/>
          <w:sz w:val="24"/>
          <w:szCs w:val="24"/>
          <w:highlight w:val="none"/>
        </w:rPr>
      </w:pPr>
    </w:p>
    <w:p w14:paraId="0776B5F3">
      <w:pPr>
        <w:pStyle w:val="6"/>
        <w:numPr>
          <w:ilvl w:val="0"/>
          <w:numId w:val="0"/>
        </w:numPr>
        <w:ind w:left="1366" w:leftChars="0" w:right="1503" w:rightChars="0"/>
        <w:rPr>
          <w:rFonts w:hint="eastAsia" w:cs="Times New Roman"/>
          <w:sz w:val="24"/>
          <w:szCs w:val="24"/>
          <w:highlight w:val="none"/>
          <w:lang w:val="en-US" w:eastAsia="zh-CN"/>
        </w:rPr>
      </w:pPr>
      <w:r>
        <w:rPr>
          <w:rFonts w:hint="eastAsia" w:ascii="Cambria" w:hAnsi="Cambria" w:eastAsia="宋体" w:cs="Times New Roman"/>
          <w:b/>
          <w:bCs/>
          <w:kern w:val="2"/>
          <w:sz w:val="24"/>
          <w:szCs w:val="24"/>
          <w:lang w:val="en-US" w:eastAsia="zh-CN" w:bidi="ar-SA"/>
        </w:rPr>
        <w:t>二、</w:t>
      </w:r>
      <w:r>
        <w:rPr>
          <w:rFonts w:hint="eastAsia" w:cs="Times New Roman"/>
          <w:sz w:val="24"/>
          <w:szCs w:val="24"/>
          <w:highlight w:val="none"/>
          <w:lang w:val="en-US" w:eastAsia="zh-CN"/>
        </w:rPr>
        <w:t>项目概况</w:t>
      </w:r>
    </w:p>
    <w:p w14:paraId="5F9343FB">
      <w:pPr>
        <w:pStyle w:val="6"/>
        <w:numPr>
          <w:ilvl w:val="0"/>
          <w:numId w:val="0"/>
        </w:numPr>
        <w:spacing w:before="0" w:after="0" w:line="240" w:lineRule="auto"/>
        <w:ind w:left="0" w:leftChars="0" w:right="0" w:rightChars="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为安徽融城高新技术产业发展集团有限公司提供人力资源管理咨询服务。</w:t>
      </w:r>
    </w:p>
    <w:p w14:paraId="4C49019D">
      <w:pPr>
        <w:pStyle w:val="6"/>
        <w:numPr>
          <w:ilvl w:val="0"/>
          <w:numId w:val="16"/>
        </w:numPr>
        <w:ind w:left="1366" w:leftChars="0" w:right="1503" w:rightChars="0"/>
        <w:rPr>
          <w:rFonts w:hint="eastAsia" w:cs="Times New Roman"/>
          <w:sz w:val="24"/>
          <w:szCs w:val="24"/>
          <w:highlight w:val="none"/>
          <w:lang w:val="en-US" w:eastAsia="zh-CN"/>
        </w:rPr>
      </w:pPr>
      <w:r>
        <w:rPr>
          <w:rFonts w:hint="eastAsia" w:cs="Times New Roman"/>
          <w:sz w:val="24"/>
          <w:szCs w:val="24"/>
          <w:highlight w:val="none"/>
          <w:lang w:val="en-US" w:eastAsia="zh-CN"/>
        </w:rPr>
        <w:t>采购需求</w:t>
      </w:r>
    </w:p>
    <w:p w14:paraId="7FFCD665">
      <w:pPr>
        <w:numPr>
          <w:ilvl w:val="0"/>
          <w:numId w:val="0"/>
        </w:numPr>
        <w:rPr>
          <w:rFonts w:hint="eastAsia"/>
          <w:lang w:val="en-US" w:eastAsia="zh-CN"/>
        </w:rPr>
      </w:pPr>
      <w:r>
        <w:rPr>
          <w:rFonts w:hint="eastAsia"/>
          <w:lang w:val="en-US" w:eastAsia="zh-CN"/>
        </w:rPr>
        <w:t>包括但不限于以下内容：</w:t>
      </w:r>
    </w:p>
    <w:p w14:paraId="3E1AA0F2">
      <w:pPr>
        <w:numPr>
          <w:ilvl w:val="0"/>
          <w:numId w:val="0"/>
        </w:numPr>
        <w:rPr>
          <w:rFonts w:hint="default"/>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2152"/>
        <w:gridCol w:w="4722"/>
      </w:tblGrid>
      <w:tr w14:paraId="539D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5DD30F5C">
            <w:pPr>
              <w:widowControl w:val="0"/>
              <w:numPr>
                <w:ilvl w:val="0"/>
                <w:numId w:val="0"/>
              </w:numPr>
              <w:jc w:val="center"/>
              <w:rPr>
                <w:rFonts w:hint="eastAsia" w:ascii="仿宋_GB2312" w:hAnsi="仿宋_GB2312" w:eastAsia="仿宋_GB2312" w:cs="仿宋_GB2312"/>
                <w:b/>
                <w:bCs/>
                <w:vertAlign w:val="baseline"/>
                <w:lang w:val="en-US" w:eastAsia="zh-CN"/>
              </w:rPr>
            </w:pPr>
            <w:bookmarkStart w:id="59" w:name="_Toc4353"/>
            <w:r>
              <w:rPr>
                <w:rFonts w:hint="eastAsia" w:ascii="仿宋_GB2312" w:hAnsi="仿宋_GB2312" w:eastAsia="仿宋_GB2312" w:cs="仿宋_GB2312"/>
                <w:b/>
                <w:bCs/>
                <w:vertAlign w:val="baseline"/>
                <w:lang w:val="en-US" w:eastAsia="zh-CN"/>
              </w:rPr>
              <w:t>模块</w:t>
            </w:r>
          </w:p>
        </w:tc>
        <w:tc>
          <w:tcPr>
            <w:tcW w:w="2152" w:type="dxa"/>
            <w:vAlign w:val="center"/>
          </w:tcPr>
          <w:p w14:paraId="58BCFBFA">
            <w:pPr>
              <w:widowControl w:val="0"/>
              <w:numPr>
                <w:ilvl w:val="0"/>
                <w:numId w:val="0"/>
              </w:num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子模块</w:t>
            </w:r>
          </w:p>
        </w:tc>
        <w:tc>
          <w:tcPr>
            <w:tcW w:w="4722" w:type="dxa"/>
            <w:vAlign w:val="center"/>
          </w:tcPr>
          <w:p w14:paraId="1A8D7972">
            <w:pPr>
              <w:widowControl w:val="0"/>
              <w:numPr>
                <w:ilvl w:val="0"/>
                <w:numId w:val="0"/>
              </w:numPr>
              <w:jc w:val="center"/>
              <w:rPr>
                <w:rFonts w:hint="eastAsia" w:ascii="仿宋_GB2312" w:hAnsi="仿宋_GB2312" w:eastAsia="仿宋_GB2312" w:cs="仿宋_GB2312"/>
                <w:b/>
                <w:bCs/>
                <w:vertAlign w:val="baseline"/>
                <w:lang w:val="en-US" w:eastAsia="zh-CN"/>
              </w:rPr>
            </w:pPr>
            <w:r>
              <w:rPr>
                <w:rFonts w:hint="eastAsia" w:ascii="仿宋_GB2312" w:hAnsi="仿宋_GB2312" w:eastAsia="仿宋_GB2312" w:cs="仿宋_GB2312"/>
                <w:b/>
                <w:bCs/>
                <w:vertAlign w:val="baseline"/>
                <w:lang w:val="en-US" w:eastAsia="zh-CN"/>
              </w:rPr>
              <w:t>主要内容</w:t>
            </w:r>
          </w:p>
        </w:tc>
      </w:tr>
      <w:tr w14:paraId="03CF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46" w:type="dxa"/>
            <w:vMerge w:val="restart"/>
            <w:vAlign w:val="center"/>
          </w:tcPr>
          <w:p w14:paraId="2C368F76">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组织体系</w:t>
            </w:r>
          </w:p>
        </w:tc>
        <w:tc>
          <w:tcPr>
            <w:tcW w:w="2152" w:type="dxa"/>
            <w:vAlign w:val="center"/>
          </w:tcPr>
          <w:p w14:paraId="0E352EF8">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组织架构优化</w:t>
            </w:r>
          </w:p>
        </w:tc>
        <w:tc>
          <w:tcPr>
            <w:tcW w:w="4722" w:type="dxa"/>
            <w:vAlign w:val="center"/>
          </w:tcPr>
          <w:p w14:paraId="50F51C3A">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对内部管理情况进行调研与结果分析，协助公司完成组织架构设计以及部门职责梳理。</w:t>
            </w:r>
          </w:p>
        </w:tc>
      </w:tr>
      <w:tr w14:paraId="0E48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46" w:type="dxa"/>
            <w:vMerge w:val="continue"/>
            <w:vAlign w:val="center"/>
          </w:tcPr>
          <w:p w14:paraId="2B11920D">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p>
        </w:tc>
        <w:tc>
          <w:tcPr>
            <w:tcW w:w="2152" w:type="dxa"/>
            <w:vAlign w:val="center"/>
          </w:tcPr>
          <w:p w14:paraId="1F657C95">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组织职能梳理</w:t>
            </w:r>
          </w:p>
        </w:tc>
        <w:tc>
          <w:tcPr>
            <w:tcW w:w="4722" w:type="dxa"/>
            <w:vAlign w:val="center"/>
          </w:tcPr>
          <w:p w14:paraId="27D6968E">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完成部门内部岗位设置、岗位职责划分。</w:t>
            </w:r>
          </w:p>
        </w:tc>
      </w:tr>
      <w:tr w14:paraId="326A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46" w:type="dxa"/>
            <w:vMerge w:val="continue"/>
            <w:vAlign w:val="center"/>
          </w:tcPr>
          <w:p w14:paraId="15C90422">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p>
        </w:tc>
        <w:tc>
          <w:tcPr>
            <w:tcW w:w="2152" w:type="dxa"/>
            <w:vAlign w:val="center"/>
          </w:tcPr>
          <w:p w14:paraId="37FC4883">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组织流程优化</w:t>
            </w:r>
          </w:p>
        </w:tc>
        <w:tc>
          <w:tcPr>
            <w:tcW w:w="4722" w:type="dxa"/>
            <w:vAlign w:val="center"/>
          </w:tcPr>
          <w:p w14:paraId="30D49BC9">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完善现有工作流程，输出规范化的组织管理体系。</w:t>
            </w:r>
          </w:p>
        </w:tc>
      </w:tr>
      <w:tr w14:paraId="3281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14:paraId="4D2A9F5C">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薪酬体系</w:t>
            </w:r>
          </w:p>
        </w:tc>
        <w:tc>
          <w:tcPr>
            <w:tcW w:w="2152" w:type="dxa"/>
            <w:vAlign w:val="center"/>
          </w:tcPr>
          <w:p w14:paraId="7B5A029F">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薪酬体系优化</w:t>
            </w:r>
          </w:p>
        </w:tc>
        <w:tc>
          <w:tcPr>
            <w:tcW w:w="4722" w:type="dxa"/>
            <w:vAlign w:val="center"/>
          </w:tcPr>
          <w:p w14:paraId="343C7893">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根据公司薪酬方面出现的问题，对公司内部薪酬结构等进行科学规划与体系设计，使公司薪酬具备公平性、竞争性与激励性。</w:t>
            </w:r>
          </w:p>
        </w:tc>
      </w:tr>
      <w:tr w14:paraId="2648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46" w:type="dxa"/>
            <w:vAlign w:val="center"/>
          </w:tcPr>
          <w:p w14:paraId="37ADDF15">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绩效体系</w:t>
            </w:r>
          </w:p>
        </w:tc>
        <w:tc>
          <w:tcPr>
            <w:tcW w:w="2152" w:type="dxa"/>
            <w:vAlign w:val="center"/>
          </w:tcPr>
          <w:p w14:paraId="6B61E13A">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绩效体系优化</w:t>
            </w:r>
          </w:p>
        </w:tc>
        <w:tc>
          <w:tcPr>
            <w:tcW w:w="4722" w:type="dxa"/>
            <w:vAlign w:val="center"/>
          </w:tcPr>
          <w:p w14:paraId="5665083B">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482"/>
              <w:jc w:val="left"/>
              <w:textAlignment w:val="auto"/>
              <w:rPr>
                <w:rFonts w:hint="eastAsia" w:cs="宋体"/>
                <w:kern w:val="0"/>
                <w:sz w:val="21"/>
                <w:szCs w:val="21"/>
                <w:highlight w:val="none"/>
                <w:lang w:val="en-US" w:eastAsia="zh-CN" w:bidi="zh-CN"/>
              </w:rPr>
            </w:pPr>
            <w:r>
              <w:rPr>
                <w:rFonts w:hint="eastAsia" w:cs="宋体"/>
                <w:kern w:val="0"/>
                <w:sz w:val="21"/>
                <w:szCs w:val="21"/>
                <w:highlight w:val="none"/>
                <w:lang w:val="en-US" w:eastAsia="zh-CN" w:bidi="zh-CN"/>
              </w:rPr>
              <w:t>对现有绩效体系进行优化完善，设计差异化、可落地、易操作的绩效考核指标体系，使绩效管理体系真正成为驱动公司发展的有效工具。</w:t>
            </w:r>
          </w:p>
        </w:tc>
      </w:tr>
    </w:tbl>
    <w:p w14:paraId="0DD83457">
      <w:pPr>
        <w:pStyle w:val="3"/>
        <w:tabs>
          <w:tab w:val="left" w:pos="1125"/>
        </w:tabs>
        <w:spacing w:line="360" w:lineRule="auto"/>
        <w:ind w:right="133"/>
        <w:jc w:val="center"/>
        <w:rPr>
          <w:rFonts w:hint="eastAsia" w:ascii="宋体" w:hAnsi="宋体"/>
          <w:sz w:val="32"/>
          <w:szCs w:val="32"/>
          <w:highlight w:val="none"/>
          <w:lang w:val="en-US" w:eastAsia="zh-CN"/>
        </w:rPr>
      </w:pP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w:t>
      </w:r>
      <w:r>
        <w:rPr>
          <w:rFonts w:hint="eastAsia" w:ascii="宋体" w:hAnsi="宋体" w:eastAsia="宋体" w:cs="宋体"/>
          <w:b/>
          <w:bCs/>
          <w:kern w:val="2"/>
          <w:sz w:val="24"/>
          <w:szCs w:val="24"/>
          <w:highlight w:val="none"/>
          <w:lang w:val="en-US" w:eastAsia="zh-CN" w:bidi="ar-SA"/>
        </w:rPr>
        <w:t>报价要求</w:t>
      </w:r>
      <w:bookmarkEnd w:id="59"/>
    </w:p>
    <w:p w14:paraId="21688AEB">
      <w:pPr>
        <w:keepNext w:val="0"/>
        <w:keepLines w:val="0"/>
        <w:pageBreakBefore w:val="0"/>
        <w:widowControl w:val="0"/>
        <w:numPr>
          <w:ilvl w:val="0"/>
          <w:numId w:val="0"/>
        </w:numPr>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1、本项目采用固定总价合同：供应商报价包含为本项目服务有关的全部费用。</w:t>
      </w:r>
    </w:p>
    <w:p w14:paraId="6936AFEF">
      <w:pPr>
        <w:keepNext w:val="0"/>
        <w:keepLines w:val="0"/>
        <w:pageBreakBefore w:val="0"/>
        <w:widowControl w:val="0"/>
        <w:numPr>
          <w:ilvl w:val="0"/>
          <w:numId w:val="0"/>
        </w:numPr>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2、供应商应仔细阅读磋商文件，了解此项目的全部工作内容。供应商的报价应是磋商文件所确定的范围内全部服务内容的价格体现。办公场地、交通、住宿及生活等相关费用由成交供应商自理。</w:t>
      </w:r>
    </w:p>
    <w:p w14:paraId="293231E4">
      <w:pPr>
        <w:keepNext w:val="0"/>
        <w:keepLines w:val="0"/>
        <w:pageBreakBefore w:val="0"/>
        <w:widowControl w:val="0"/>
        <w:numPr>
          <w:ilvl w:val="0"/>
          <w:numId w:val="0"/>
        </w:numPr>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3、供应商报价时需对服务范围、要求、合同条款等充分考虑，一旦成交，无论何种情况，成交</w:t>
      </w:r>
      <w:r>
        <w:rPr>
          <w:rFonts w:hint="eastAsia" w:ascii="宋体" w:hAnsi="宋体" w:cs="宋体"/>
          <w:b/>
          <w:bCs/>
          <w:color w:val="000000"/>
          <w:kern w:val="0"/>
          <w:sz w:val="21"/>
          <w:szCs w:val="21"/>
          <w:lang w:val="en-US" w:eastAsia="zh-CN" w:bidi="ar"/>
        </w:rPr>
        <w:t>服务</w:t>
      </w:r>
      <w:r>
        <w:rPr>
          <w:rFonts w:hint="eastAsia" w:ascii="宋体" w:hAnsi="宋体" w:eastAsia="宋体" w:cs="宋体"/>
          <w:b/>
          <w:bCs/>
          <w:color w:val="000000"/>
          <w:kern w:val="0"/>
          <w:sz w:val="21"/>
          <w:szCs w:val="21"/>
          <w:lang w:val="en-US" w:eastAsia="zh-CN" w:bidi="ar"/>
        </w:rPr>
        <w:t>费不予调整。</w:t>
      </w:r>
    </w:p>
    <w:p w14:paraId="619D4FE6">
      <w:pPr>
        <w:keepNext w:val="0"/>
        <w:keepLines w:val="0"/>
        <w:pageBreakBefore w:val="0"/>
        <w:widowControl w:val="0"/>
        <w:numPr>
          <w:ilvl w:val="0"/>
          <w:numId w:val="0"/>
        </w:numPr>
        <w:kinsoku/>
        <w:wordWrap/>
        <w:overflowPunct/>
        <w:topLinePunct w:val="0"/>
        <w:bidi w:val="0"/>
        <w:adjustRightInd/>
        <w:snapToGrid/>
        <w:spacing w:line="360" w:lineRule="auto"/>
        <w:ind w:firstLine="422" w:firstLineChars="200"/>
        <w:textAlignment w:val="auto"/>
        <w:rPr>
          <w:rFonts w:hint="eastAsia" w:ascii="宋体" w:hAnsi="宋体" w:eastAsia="宋体" w:cs="宋体"/>
          <w:b/>
          <w:bCs/>
          <w:color w:val="000000"/>
          <w:kern w:val="0"/>
          <w:sz w:val="21"/>
          <w:szCs w:val="21"/>
          <w:lang w:val="en-US" w:eastAsia="zh-CN" w:bidi="ar"/>
        </w:rPr>
      </w:pPr>
    </w:p>
    <w:p w14:paraId="533E89A9">
      <w:pPr>
        <w:widowControl/>
        <w:numPr>
          <w:ilvl w:val="0"/>
          <w:numId w:val="0"/>
        </w:numPr>
        <w:spacing w:line="240" w:lineRule="auto"/>
        <w:ind w:left="1366" w:leftChars="0" w:firstLine="2168" w:firstLineChars="900"/>
        <w:jc w:val="both"/>
        <w:rPr>
          <w:rFonts w:hint="eastAsia" w:ascii="宋体" w:hAnsi="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五、</w:t>
      </w:r>
      <w:r>
        <w:rPr>
          <w:rFonts w:hint="eastAsia" w:ascii="宋体" w:hAnsi="宋体" w:cs="Times New Roman"/>
          <w:b/>
          <w:bCs/>
          <w:kern w:val="2"/>
          <w:sz w:val="24"/>
          <w:szCs w:val="24"/>
          <w:lang w:val="en-US" w:eastAsia="zh-CN" w:bidi="ar-SA"/>
        </w:rPr>
        <w:t>其他要求</w:t>
      </w:r>
    </w:p>
    <w:p w14:paraId="77603F03">
      <w:pPr>
        <w:numPr>
          <w:ilvl w:val="0"/>
          <w:numId w:val="0"/>
        </w:numPr>
        <w:bidi w:val="0"/>
        <w:rPr>
          <w:rFonts w:hint="eastAsia"/>
          <w:lang w:val="en-US" w:eastAsia="zh-CN"/>
        </w:rPr>
      </w:pPr>
    </w:p>
    <w:p w14:paraId="5BEFF683">
      <w:pPr>
        <w:numPr>
          <w:ilvl w:val="0"/>
          <w:numId w:val="0"/>
        </w:numPr>
        <w:bidi w:val="0"/>
        <w:rPr>
          <w:rFonts w:hint="default"/>
          <w:b/>
          <w:bCs/>
          <w:lang w:val="en-US" w:eastAsia="zh-CN"/>
        </w:rPr>
      </w:pPr>
      <w:r>
        <w:rPr>
          <w:rFonts w:hint="eastAsia"/>
          <w:b/>
          <w:bCs/>
          <w:lang w:val="en-US" w:eastAsia="zh-CN"/>
        </w:rPr>
        <w:t>/</w:t>
      </w:r>
    </w:p>
    <w:p w14:paraId="2993D02F">
      <w:pPr>
        <w:bidi w:val="0"/>
        <w:rPr>
          <w:rFonts w:hint="default"/>
          <w:lang w:val="en-US" w:eastAsia="zh-CN"/>
        </w:rPr>
      </w:pPr>
    </w:p>
    <w:p w14:paraId="2AFDAAC9">
      <w:pPr>
        <w:bidi w:val="0"/>
        <w:rPr>
          <w:rFonts w:hint="default"/>
          <w:lang w:val="en-US" w:eastAsia="zh-CN"/>
        </w:rPr>
      </w:pPr>
    </w:p>
    <w:p w14:paraId="6336BAA3">
      <w:pPr>
        <w:bidi w:val="0"/>
        <w:rPr>
          <w:rFonts w:hint="default"/>
          <w:lang w:val="en-US" w:eastAsia="zh-CN"/>
        </w:rPr>
      </w:pPr>
    </w:p>
    <w:p w14:paraId="52387732">
      <w:pPr>
        <w:bidi w:val="0"/>
        <w:rPr>
          <w:rFonts w:hint="default"/>
          <w:lang w:val="en-US" w:eastAsia="zh-CN"/>
        </w:rPr>
      </w:pPr>
    </w:p>
    <w:p w14:paraId="2476A2BD">
      <w:pPr>
        <w:bidi w:val="0"/>
        <w:rPr>
          <w:rFonts w:hint="default"/>
          <w:lang w:val="en-US" w:eastAsia="zh-CN"/>
        </w:rPr>
      </w:pPr>
    </w:p>
    <w:p w14:paraId="0C4FEC66">
      <w:pPr>
        <w:bidi w:val="0"/>
        <w:rPr>
          <w:rFonts w:hint="default"/>
          <w:lang w:val="en-US" w:eastAsia="zh-CN"/>
        </w:rPr>
      </w:pPr>
    </w:p>
    <w:p w14:paraId="36FD6015">
      <w:pPr>
        <w:bidi w:val="0"/>
        <w:rPr>
          <w:rFonts w:hint="default"/>
          <w:lang w:val="en-US" w:eastAsia="zh-CN"/>
        </w:rPr>
      </w:pPr>
    </w:p>
    <w:p w14:paraId="12C61B2F">
      <w:pPr>
        <w:bidi w:val="0"/>
        <w:rPr>
          <w:rFonts w:hint="default"/>
          <w:lang w:val="en-US" w:eastAsia="zh-CN"/>
        </w:rPr>
      </w:pPr>
    </w:p>
    <w:p w14:paraId="13263F5D">
      <w:pPr>
        <w:bidi w:val="0"/>
        <w:rPr>
          <w:rFonts w:hint="default"/>
          <w:lang w:val="en-US" w:eastAsia="zh-CN"/>
        </w:rPr>
      </w:pPr>
    </w:p>
    <w:p w14:paraId="6A24ED91">
      <w:pPr>
        <w:bidi w:val="0"/>
        <w:rPr>
          <w:rFonts w:hint="default"/>
          <w:lang w:val="en-US" w:eastAsia="zh-CN"/>
        </w:rPr>
      </w:pPr>
    </w:p>
    <w:p w14:paraId="68ED69B5">
      <w:pPr>
        <w:bidi w:val="0"/>
        <w:rPr>
          <w:rFonts w:hint="default"/>
          <w:lang w:val="en-US" w:eastAsia="zh-CN"/>
        </w:rPr>
      </w:pPr>
    </w:p>
    <w:p w14:paraId="6CE66872">
      <w:pPr>
        <w:bidi w:val="0"/>
        <w:rPr>
          <w:rFonts w:hint="default"/>
          <w:lang w:val="en-US" w:eastAsia="zh-CN"/>
        </w:rPr>
      </w:pPr>
    </w:p>
    <w:p w14:paraId="37888E5F">
      <w:pPr>
        <w:bidi w:val="0"/>
        <w:rPr>
          <w:rFonts w:hint="default"/>
          <w:lang w:val="en-US" w:eastAsia="zh-CN"/>
        </w:rPr>
      </w:pPr>
    </w:p>
    <w:p w14:paraId="1E1D37AE">
      <w:pPr>
        <w:bidi w:val="0"/>
        <w:rPr>
          <w:rFonts w:hint="default"/>
          <w:lang w:val="en-US" w:eastAsia="zh-CN"/>
        </w:rPr>
      </w:pPr>
    </w:p>
    <w:p w14:paraId="2D3E2926">
      <w:pPr>
        <w:bidi w:val="0"/>
        <w:rPr>
          <w:rFonts w:hint="default"/>
          <w:lang w:val="en-US" w:eastAsia="zh-CN"/>
        </w:rPr>
      </w:pPr>
    </w:p>
    <w:p w14:paraId="4EA44AA9">
      <w:pPr>
        <w:bidi w:val="0"/>
        <w:rPr>
          <w:rFonts w:hint="default"/>
          <w:lang w:val="en-US" w:eastAsia="zh-CN"/>
        </w:rPr>
      </w:pPr>
    </w:p>
    <w:p w14:paraId="7B174E64">
      <w:pPr>
        <w:bidi w:val="0"/>
        <w:rPr>
          <w:rFonts w:hint="default"/>
          <w:lang w:val="en-US" w:eastAsia="zh-CN"/>
        </w:rPr>
      </w:pPr>
    </w:p>
    <w:p w14:paraId="77858021">
      <w:pPr>
        <w:bidi w:val="0"/>
        <w:rPr>
          <w:rFonts w:hint="default"/>
          <w:lang w:val="en-US" w:eastAsia="zh-CN"/>
        </w:rPr>
      </w:pPr>
    </w:p>
    <w:p w14:paraId="59883C17">
      <w:pPr>
        <w:bidi w:val="0"/>
        <w:rPr>
          <w:rFonts w:hint="default"/>
          <w:lang w:val="en-US" w:eastAsia="zh-CN"/>
        </w:rPr>
      </w:pPr>
    </w:p>
    <w:p w14:paraId="3282EDEA">
      <w:pPr>
        <w:bidi w:val="0"/>
        <w:rPr>
          <w:rFonts w:hint="default"/>
          <w:lang w:val="en-US" w:eastAsia="zh-CN"/>
        </w:rPr>
      </w:pPr>
    </w:p>
    <w:p w14:paraId="357E920A">
      <w:pPr>
        <w:bidi w:val="0"/>
        <w:rPr>
          <w:rFonts w:hint="default"/>
          <w:lang w:val="en-US" w:eastAsia="zh-CN"/>
        </w:rPr>
      </w:pPr>
    </w:p>
    <w:p w14:paraId="183068BC">
      <w:pPr>
        <w:bidi w:val="0"/>
        <w:rPr>
          <w:rFonts w:hint="default"/>
          <w:lang w:val="en-US" w:eastAsia="zh-CN"/>
        </w:rPr>
      </w:pPr>
    </w:p>
    <w:p w14:paraId="5E5AE83B">
      <w:pPr>
        <w:bidi w:val="0"/>
        <w:rPr>
          <w:rFonts w:hint="default"/>
          <w:lang w:val="en-US" w:eastAsia="zh-CN"/>
        </w:rPr>
      </w:pPr>
    </w:p>
    <w:p w14:paraId="45D7D895">
      <w:pPr>
        <w:bidi w:val="0"/>
        <w:rPr>
          <w:rFonts w:hint="default"/>
          <w:lang w:val="en-US" w:eastAsia="zh-CN"/>
        </w:rPr>
      </w:pPr>
    </w:p>
    <w:p w14:paraId="7AF161E8">
      <w:pPr>
        <w:bidi w:val="0"/>
        <w:rPr>
          <w:rFonts w:hint="default"/>
          <w:lang w:val="en-US" w:eastAsia="zh-CN"/>
        </w:rPr>
      </w:pPr>
    </w:p>
    <w:p w14:paraId="55315D20">
      <w:pPr>
        <w:bidi w:val="0"/>
        <w:rPr>
          <w:rFonts w:hint="default"/>
          <w:lang w:val="en-US" w:eastAsia="zh-CN"/>
        </w:rPr>
      </w:pPr>
    </w:p>
    <w:p w14:paraId="19ABC5F9">
      <w:pPr>
        <w:bidi w:val="0"/>
        <w:rPr>
          <w:rFonts w:hint="default"/>
          <w:lang w:val="en-US" w:eastAsia="zh-CN"/>
        </w:rPr>
      </w:pPr>
    </w:p>
    <w:p w14:paraId="1A86EB31">
      <w:pPr>
        <w:bidi w:val="0"/>
        <w:rPr>
          <w:rFonts w:hint="default"/>
          <w:lang w:val="en-US" w:eastAsia="zh-CN"/>
        </w:rPr>
      </w:pPr>
    </w:p>
    <w:p w14:paraId="01F1E285">
      <w:pPr>
        <w:bidi w:val="0"/>
        <w:rPr>
          <w:rFonts w:hint="default"/>
          <w:lang w:val="en-US" w:eastAsia="zh-CN"/>
        </w:rPr>
      </w:pPr>
    </w:p>
    <w:p w14:paraId="57198287">
      <w:pPr>
        <w:bidi w:val="0"/>
        <w:rPr>
          <w:rFonts w:hint="default"/>
          <w:lang w:val="en-US" w:eastAsia="zh-CN"/>
        </w:rPr>
      </w:pPr>
    </w:p>
    <w:p w14:paraId="08239B65">
      <w:pPr>
        <w:bidi w:val="0"/>
        <w:rPr>
          <w:rFonts w:hint="default"/>
          <w:lang w:val="en-US" w:eastAsia="zh-CN"/>
        </w:rPr>
      </w:pPr>
    </w:p>
    <w:p w14:paraId="6FAFB424">
      <w:pPr>
        <w:bidi w:val="0"/>
        <w:rPr>
          <w:rFonts w:hint="default"/>
          <w:lang w:val="en-US" w:eastAsia="zh-CN"/>
        </w:rPr>
      </w:pPr>
    </w:p>
    <w:p w14:paraId="7848F8F1">
      <w:pPr>
        <w:bidi w:val="0"/>
        <w:rPr>
          <w:rFonts w:hint="default"/>
          <w:lang w:val="en-US" w:eastAsia="zh-CN"/>
        </w:rPr>
      </w:pPr>
    </w:p>
    <w:p w14:paraId="65AE8ECF">
      <w:pPr>
        <w:bidi w:val="0"/>
        <w:rPr>
          <w:rFonts w:hint="default"/>
          <w:lang w:val="en-US" w:eastAsia="zh-CN"/>
        </w:rPr>
      </w:pPr>
    </w:p>
    <w:p w14:paraId="2D701F2B">
      <w:pPr>
        <w:bidi w:val="0"/>
        <w:rPr>
          <w:rFonts w:hint="default"/>
          <w:lang w:val="en-US" w:eastAsia="zh-CN"/>
        </w:rPr>
      </w:pPr>
    </w:p>
    <w:p w14:paraId="0EAC8239">
      <w:pPr>
        <w:pStyle w:val="3"/>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0" w:name="_Toc24605"/>
      <w:r>
        <w:rPr>
          <w:rFonts w:hint="eastAsia" w:ascii="宋体" w:hAnsi="宋体"/>
          <w:sz w:val="32"/>
          <w:szCs w:val="32"/>
          <w:highlight w:val="none"/>
        </w:rPr>
        <w:t>评审方法和标准</w:t>
      </w:r>
      <w:bookmarkEnd w:id="60"/>
    </w:p>
    <w:p w14:paraId="6F958CA2">
      <w:pPr>
        <w:pStyle w:val="6"/>
        <w:rPr>
          <w:highlight w:val="none"/>
        </w:rPr>
      </w:pPr>
      <w:r>
        <w:rPr>
          <w:highlight w:val="none"/>
        </w:rPr>
        <w:t>一、总则</w:t>
      </w:r>
    </w:p>
    <w:p w14:paraId="04C9BF8D">
      <w:pPr>
        <w:pStyle w:val="2"/>
        <w:spacing w:before="160" w:line="360" w:lineRule="auto"/>
        <w:ind w:left="671" w:right="413" w:hanging="3"/>
        <w:rPr>
          <w:sz w:val="21"/>
          <w:szCs w:val="21"/>
          <w:highlight w:val="none"/>
        </w:rPr>
      </w:pPr>
      <w:r>
        <w:rPr>
          <w:sz w:val="21"/>
          <w:szCs w:val="21"/>
          <w:highlight w:val="none"/>
        </w:rPr>
        <w:t>本项目将按照磋商文件第二章 供应商须知的相关要求及本章的规定评审。</w:t>
      </w:r>
    </w:p>
    <w:p w14:paraId="709E5C9D">
      <w:pPr>
        <w:pStyle w:val="2"/>
        <w:spacing w:before="160" w:line="360" w:lineRule="auto"/>
        <w:ind w:left="671" w:right="413" w:hanging="3"/>
        <w:jc w:val="center"/>
        <w:rPr>
          <w:b/>
          <w:sz w:val="21"/>
          <w:szCs w:val="21"/>
          <w:highlight w:val="none"/>
        </w:rPr>
      </w:pPr>
      <w:r>
        <w:rPr>
          <w:rFonts w:cs="Times New Roman"/>
          <w:b/>
          <w:bCs/>
          <w:kern w:val="2"/>
          <w:sz w:val="21"/>
          <w:szCs w:val="21"/>
          <w:highlight w:val="none"/>
          <w:lang w:val="en-US" w:bidi="ar-SA"/>
        </w:rPr>
        <w:t>二、评审方法</w:t>
      </w:r>
    </w:p>
    <w:p w14:paraId="581633DE">
      <w:pPr>
        <w:pStyle w:val="27"/>
        <w:numPr>
          <w:ilvl w:val="1"/>
          <w:numId w:val="0"/>
        </w:numPr>
        <w:tabs>
          <w:tab w:val="left" w:pos="1090"/>
        </w:tabs>
        <w:spacing w:before="5" w:line="360" w:lineRule="auto"/>
        <w:ind w:left="1089" w:leftChars="0" w:hanging="421" w:firstLineChars="0"/>
        <w:rPr>
          <w:sz w:val="21"/>
          <w:szCs w:val="21"/>
          <w:highlight w:val="none"/>
        </w:rPr>
      </w:pPr>
      <w:r>
        <w:rPr>
          <w:rFonts w:hint="default" w:ascii="宋体" w:hAnsi="宋体" w:eastAsia="宋体" w:cs="宋体"/>
          <w:w w:val="100"/>
          <w:kern w:val="0"/>
          <w:sz w:val="21"/>
          <w:szCs w:val="21"/>
          <w:lang w:val="zh-CN" w:eastAsia="zh-CN" w:bidi="zh-CN"/>
        </w:rPr>
        <w:t>2.1</w:t>
      </w:r>
      <w:r>
        <w:rPr>
          <w:sz w:val="21"/>
          <w:szCs w:val="21"/>
          <w:highlight w:val="none"/>
        </w:rPr>
        <w:t>初审</w:t>
      </w:r>
    </w:p>
    <w:p w14:paraId="5409273C">
      <w:pPr>
        <w:pStyle w:val="2"/>
        <w:spacing w:before="159" w:line="360" w:lineRule="auto"/>
        <w:ind w:left="234" w:right="373" w:firstLine="434"/>
        <w:rPr>
          <w:sz w:val="21"/>
          <w:szCs w:val="21"/>
          <w:highlight w:val="none"/>
        </w:rPr>
      </w:pPr>
      <w:r>
        <w:rPr>
          <w:spacing w:val="-6"/>
          <w:sz w:val="21"/>
          <w:szCs w:val="21"/>
          <w:highlight w:val="none"/>
        </w:rPr>
        <w:t>磋商小组对供应商的响应文件进行初审，以确定其是否满足磋商文件的实质</w:t>
      </w:r>
      <w:r>
        <w:rPr>
          <w:sz w:val="21"/>
          <w:szCs w:val="21"/>
          <w:highlight w:val="none"/>
        </w:rPr>
        <w:t>性要求。初审表如下：</w:t>
      </w:r>
    </w:p>
    <w:tbl>
      <w:tblPr>
        <w:tblStyle w:val="17"/>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2127"/>
        <w:gridCol w:w="2393"/>
        <w:gridCol w:w="3261"/>
      </w:tblGrid>
      <w:tr w14:paraId="7D190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087A65B2">
            <w:pPr>
              <w:pStyle w:val="25"/>
              <w:spacing w:before="28" w:line="360" w:lineRule="auto"/>
              <w:ind w:left="3870" w:right="3853"/>
              <w:jc w:val="center"/>
              <w:rPr>
                <w:b/>
                <w:sz w:val="21"/>
                <w:szCs w:val="21"/>
                <w:highlight w:val="none"/>
                <w:lang w:eastAsia="en-US"/>
              </w:rPr>
            </w:pPr>
            <w:r>
              <w:rPr>
                <w:b/>
                <w:sz w:val="21"/>
                <w:szCs w:val="21"/>
                <w:highlight w:val="none"/>
                <w:lang w:eastAsia="en-US"/>
              </w:rPr>
              <w:t>初审表</w:t>
            </w:r>
          </w:p>
        </w:tc>
      </w:tr>
      <w:tr w14:paraId="58C09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2CDC7474">
            <w:pPr>
              <w:pStyle w:val="25"/>
              <w:spacing w:line="360" w:lineRule="auto"/>
              <w:ind w:left="102" w:right="83"/>
              <w:jc w:val="center"/>
              <w:rPr>
                <w:sz w:val="21"/>
                <w:szCs w:val="21"/>
                <w:highlight w:val="none"/>
                <w:lang w:eastAsia="en-US"/>
              </w:rPr>
            </w:pPr>
            <w:r>
              <w:rPr>
                <w:sz w:val="21"/>
                <w:szCs w:val="21"/>
                <w:highlight w:val="none"/>
                <w:lang w:eastAsia="en-US"/>
              </w:rPr>
              <w:t>序号</w:t>
            </w:r>
          </w:p>
        </w:tc>
        <w:tc>
          <w:tcPr>
            <w:tcW w:w="2127" w:type="dxa"/>
            <w:shd w:val="clear" w:color="auto" w:fill="auto"/>
            <w:vAlign w:val="center"/>
          </w:tcPr>
          <w:p w14:paraId="1EA73822">
            <w:pPr>
              <w:pStyle w:val="25"/>
              <w:spacing w:line="360" w:lineRule="auto"/>
              <w:ind w:left="107" w:right="91"/>
              <w:jc w:val="center"/>
              <w:rPr>
                <w:sz w:val="21"/>
                <w:szCs w:val="21"/>
                <w:highlight w:val="none"/>
                <w:lang w:eastAsia="en-US"/>
              </w:rPr>
            </w:pPr>
            <w:r>
              <w:rPr>
                <w:sz w:val="21"/>
                <w:szCs w:val="21"/>
                <w:highlight w:val="none"/>
                <w:lang w:eastAsia="en-US"/>
              </w:rPr>
              <w:t>评审指标</w:t>
            </w:r>
          </w:p>
        </w:tc>
        <w:tc>
          <w:tcPr>
            <w:tcW w:w="2393" w:type="dxa"/>
            <w:tcBorders>
              <w:right w:val="single" w:color="000000" w:sz="6" w:space="0"/>
            </w:tcBorders>
            <w:shd w:val="clear" w:color="auto" w:fill="auto"/>
            <w:vAlign w:val="center"/>
          </w:tcPr>
          <w:p w14:paraId="728E9794">
            <w:pPr>
              <w:pStyle w:val="25"/>
              <w:spacing w:line="360" w:lineRule="auto"/>
              <w:ind w:left="170" w:right="150"/>
              <w:jc w:val="center"/>
              <w:rPr>
                <w:sz w:val="21"/>
                <w:szCs w:val="21"/>
                <w:highlight w:val="none"/>
                <w:lang w:eastAsia="en-US"/>
              </w:rPr>
            </w:pPr>
            <w:r>
              <w:rPr>
                <w:sz w:val="21"/>
                <w:szCs w:val="21"/>
                <w:highlight w:val="none"/>
                <w:lang w:eastAsia="en-US"/>
              </w:rPr>
              <w:t>评审标准</w:t>
            </w:r>
          </w:p>
        </w:tc>
        <w:tc>
          <w:tcPr>
            <w:tcW w:w="3261" w:type="dxa"/>
            <w:tcBorders>
              <w:left w:val="single" w:color="000000" w:sz="6" w:space="0"/>
            </w:tcBorders>
            <w:shd w:val="clear" w:color="auto" w:fill="auto"/>
            <w:vAlign w:val="center"/>
          </w:tcPr>
          <w:p w14:paraId="273E45AD">
            <w:pPr>
              <w:pStyle w:val="25"/>
              <w:spacing w:line="360" w:lineRule="auto"/>
              <w:ind w:left="1095"/>
              <w:rPr>
                <w:sz w:val="21"/>
                <w:szCs w:val="21"/>
                <w:highlight w:val="none"/>
                <w:lang w:eastAsia="en-US"/>
              </w:rPr>
            </w:pPr>
            <w:r>
              <w:rPr>
                <w:sz w:val="21"/>
                <w:szCs w:val="21"/>
                <w:highlight w:val="none"/>
                <w:lang w:eastAsia="en-US"/>
              </w:rPr>
              <w:t>格式及材料要求</w:t>
            </w:r>
          </w:p>
        </w:tc>
      </w:tr>
      <w:tr w14:paraId="40D7C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15" w:type="dxa"/>
            <w:shd w:val="clear" w:color="auto" w:fill="auto"/>
            <w:vAlign w:val="center"/>
          </w:tcPr>
          <w:p w14:paraId="204FC6CF">
            <w:pPr>
              <w:pStyle w:val="25"/>
              <w:spacing w:line="360" w:lineRule="auto"/>
              <w:ind w:left="19"/>
              <w:jc w:val="center"/>
              <w:rPr>
                <w:sz w:val="21"/>
                <w:szCs w:val="21"/>
                <w:highlight w:val="none"/>
                <w:lang w:eastAsia="en-US"/>
              </w:rPr>
            </w:pPr>
            <w:r>
              <w:rPr>
                <w:sz w:val="21"/>
                <w:szCs w:val="21"/>
                <w:highlight w:val="none"/>
                <w:lang w:eastAsia="en-US"/>
              </w:rPr>
              <w:t>1</w:t>
            </w:r>
          </w:p>
        </w:tc>
        <w:tc>
          <w:tcPr>
            <w:tcW w:w="2127" w:type="dxa"/>
            <w:shd w:val="clear" w:color="auto" w:fill="auto"/>
            <w:vAlign w:val="center"/>
          </w:tcPr>
          <w:p w14:paraId="1F24677C">
            <w:pPr>
              <w:pStyle w:val="25"/>
              <w:spacing w:line="360" w:lineRule="auto"/>
              <w:ind w:right="91" w:firstLine="420" w:firstLineChars="200"/>
              <w:jc w:val="center"/>
              <w:rPr>
                <w:sz w:val="21"/>
                <w:szCs w:val="21"/>
                <w:highlight w:val="none"/>
                <w:lang w:eastAsia="en-US"/>
              </w:rPr>
            </w:pPr>
            <w:r>
              <w:rPr>
                <w:sz w:val="21"/>
                <w:szCs w:val="21"/>
                <w:highlight w:val="none"/>
                <w:lang w:eastAsia="en-US"/>
              </w:rPr>
              <w:t>营业执照</w:t>
            </w:r>
          </w:p>
        </w:tc>
        <w:tc>
          <w:tcPr>
            <w:tcW w:w="2393" w:type="dxa"/>
            <w:tcBorders>
              <w:right w:val="single" w:color="000000" w:sz="6" w:space="0"/>
            </w:tcBorders>
            <w:shd w:val="clear" w:color="auto" w:fill="auto"/>
            <w:vAlign w:val="center"/>
          </w:tcPr>
          <w:p w14:paraId="4AA8BB27">
            <w:pPr>
              <w:pStyle w:val="25"/>
              <w:spacing w:line="360" w:lineRule="auto"/>
              <w:ind w:right="150" w:firstLine="210" w:firstLineChars="100"/>
              <w:jc w:val="both"/>
              <w:rPr>
                <w:sz w:val="21"/>
                <w:szCs w:val="21"/>
                <w:highlight w:val="none"/>
                <w:lang w:eastAsia="en-US"/>
              </w:rPr>
            </w:pPr>
            <w:r>
              <w:rPr>
                <w:sz w:val="21"/>
                <w:szCs w:val="21"/>
                <w:highlight w:val="none"/>
                <w:lang w:eastAsia="en-US"/>
              </w:rPr>
              <w:t>合法有效</w:t>
            </w:r>
          </w:p>
        </w:tc>
        <w:tc>
          <w:tcPr>
            <w:tcW w:w="3261" w:type="dxa"/>
            <w:tcBorders>
              <w:left w:val="single" w:color="000000" w:sz="6" w:space="0"/>
            </w:tcBorders>
            <w:shd w:val="clear" w:color="auto" w:fill="auto"/>
            <w:vAlign w:val="center"/>
          </w:tcPr>
          <w:p w14:paraId="73960E09">
            <w:pPr>
              <w:pStyle w:val="25"/>
              <w:spacing w:line="360" w:lineRule="auto"/>
              <w:ind w:left="106" w:right="-29"/>
              <w:rPr>
                <w:sz w:val="21"/>
                <w:szCs w:val="21"/>
                <w:highlight w:val="none"/>
                <w:lang w:eastAsia="en-US"/>
              </w:rPr>
            </w:pPr>
          </w:p>
        </w:tc>
      </w:tr>
      <w:tr w14:paraId="1B007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65E51D7A">
            <w:pPr>
              <w:pStyle w:val="25"/>
              <w:spacing w:before="2" w:line="360" w:lineRule="auto"/>
              <w:rPr>
                <w:sz w:val="21"/>
                <w:szCs w:val="21"/>
                <w:highlight w:val="none"/>
              </w:rPr>
            </w:pPr>
          </w:p>
          <w:p w14:paraId="4D923579">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2</w:t>
            </w:r>
          </w:p>
        </w:tc>
        <w:tc>
          <w:tcPr>
            <w:tcW w:w="2127" w:type="dxa"/>
            <w:shd w:val="clear" w:color="auto" w:fill="auto"/>
            <w:vAlign w:val="center"/>
          </w:tcPr>
          <w:p w14:paraId="1FDBC740">
            <w:pPr>
              <w:pStyle w:val="25"/>
              <w:spacing w:before="209" w:line="360" w:lineRule="auto"/>
              <w:ind w:left="107" w:right="91"/>
              <w:jc w:val="center"/>
              <w:rPr>
                <w:sz w:val="21"/>
                <w:szCs w:val="21"/>
                <w:highlight w:val="none"/>
                <w:lang w:eastAsia="en-US"/>
              </w:rPr>
            </w:pPr>
            <w:r>
              <w:rPr>
                <w:sz w:val="21"/>
                <w:szCs w:val="21"/>
                <w:highlight w:val="none"/>
                <w:lang w:eastAsia="en-US"/>
              </w:rPr>
              <w:t>磋商响应函</w:t>
            </w:r>
          </w:p>
        </w:tc>
        <w:tc>
          <w:tcPr>
            <w:tcW w:w="2393" w:type="dxa"/>
            <w:tcBorders>
              <w:right w:val="single" w:color="auto" w:sz="4" w:space="0"/>
            </w:tcBorders>
            <w:shd w:val="clear" w:color="auto" w:fill="auto"/>
            <w:vAlign w:val="center"/>
          </w:tcPr>
          <w:p w14:paraId="061D08EE">
            <w:pPr>
              <w:pStyle w:val="25"/>
              <w:spacing w:line="360" w:lineRule="auto"/>
              <w:ind w:left="105"/>
              <w:rPr>
                <w:sz w:val="21"/>
                <w:szCs w:val="21"/>
                <w:highlight w:val="none"/>
              </w:rPr>
            </w:pPr>
            <w:r>
              <w:rPr>
                <w:spacing w:val="-14"/>
                <w:sz w:val="21"/>
                <w:szCs w:val="21"/>
                <w:highlight w:val="none"/>
              </w:rPr>
              <w:t>格式、填写要求符合</w:t>
            </w:r>
            <w:r>
              <w:rPr>
                <w:sz w:val="21"/>
                <w:szCs w:val="21"/>
                <w:highlight w:val="none"/>
              </w:rPr>
              <w:t>磋商文件规定并加盖供应商公章</w:t>
            </w:r>
          </w:p>
        </w:tc>
        <w:tc>
          <w:tcPr>
            <w:tcW w:w="3261" w:type="dxa"/>
            <w:tcBorders>
              <w:top w:val="single" w:color="auto" w:sz="4" w:space="0"/>
              <w:left w:val="single" w:color="auto" w:sz="4" w:space="0"/>
              <w:right w:val="single" w:color="auto" w:sz="4" w:space="0"/>
            </w:tcBorders>
            <w:shd w:val="clear" w:color="auto" w:fill="auto"/>
            <w:vAlign w:val="center"/>
          </w:tcPr>
          <w:p w14:paraId="44DE858C">
            <w:pPr>
              <w:pStyle w:val="25"/>
              <w:keepNext w:val="0"/>
              <w:keepLines w:val="0"/>
              <w:pageBreakBefore w:val="0"/>
              <w:widowControl w:val="0"/>
              <w:kinsoku/>
              <w:wordWrap/>
              <w:overflowPunct/>
              <w:topLinePunct w:val="0"/>
              <w:autoSpaceDE w:val="0"/>
              <w:autoSpaceDN w:val="0"/>
              <w:bidi w:val="0"/>
              <w:adjustRightInd/>
              <w:snapToGrid/>
              <w:spacing w:before="2" w:line="360" w:lineRule="auto"/>
              <w:ind w:left="105" w:leftChars="50" w:right="283"/>
              <w:textAlignment w:val="auto"/>
              <w:rPr>
                <w:sz w:val="21"/>
                <w:szCs w:val="21"/>
                <w:highlight w:val="none"/>
              </w:rPr>
            </w:pPr>
          </w:p>
          <w:p w14:paraId="6E59DD99">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62836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715" w:type="dxa"/>
            <w:shd w:val="clear" w:color="auto" w:fill="auto"/>
            <w:vAlign w:val="center"/>
          </w:tcPr>
          <w:p w14:paraId="77E62DFB">
            <w:pPr>
              <w:pStyle w:val="25"/>
              <w:spacing w:line="360" w:lineRule="auto"/>
              <w:rPr>
                <w:sz w:val="21"/>
                <w:szCs w:val="21"/>
                <w:highlight w:val="none"/>
              </w:rPr>
            </w:pPr>
          </w:p>
          <w:p w14:paraId="5FABDE92">
            <w:pPr>
              <w:pStyle w:val="25"/>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3</w:t>
            </w:r>
          </w:p>
        </w:tc>
        <w:tc>
          <w:tcPr>
            <w:tcW w:w="2127" w:type="dxa"/>
            <w:shd w:val="clear" w:color="auto" w:fill="auto"/>
            <w:vAlign w:val="center"/>
          </w:tcPr>
          <w:p w14:paraId="4E9E7515">
            <w:pPr>
              <w:pStyle w:val="25"/>
              <w:spacing w:line="360" w:lineRule="auto"/>
              <w:jc w:val="center"/>
              <w:rPr>
                <w:sz w:val="21"/>
                <w:szCs w:val="21"/>
                <w:highlight w:val="none"/>
                <w:lang w:eastAsia="en-US"/>
              </w:rPr>
            </w:pPr>
          </w:p>
          <w:p w14:paraId="3F9D3880">
            <w:pPr>
              <w:pStyle w:val="25"/>
              <w:spacing w:before="158" w:line="360" w:lineRule="auto"/>
              <w:ind w:left="107" w:right="91"/>
              <w:jc w:val="center"/>
              <w:rPr>
                <w:sz w:val="21"/>
                <w:szCs w:val="21"/>
                <w:highlight w:val="none"/>
                <w:lang w:eastAsia="en-US"/>
              </w:rPr>
            </w:pPr>
            <w:r>
              <w:rPr>
                <w:sz w:val="21"/>
                <w:szCs w:val="21"/>
                <w:highlight w:val="none"/>
                <w:lang w:eastAsia="en-US"/>
              </w:rPr>
              <w:t>磋商授权书</w:t>
            </w:r>
          </w:p>
        </w:tc>
        <w:tc>
          <w:tcPr>
            <w:tcW w:w="2393" w:type="dxa"/>
            <w:tcBorders>
              <w:right w:val="single" w:color="auto" w:sz="4" w:space="0"/>
            </w:tcBorders>
            <w:shd w:val="clear" w:color="auto" w:fill="auto"/>
            <w:vAlign w:val="center"/>
          </w:tcPr>
          <w:p w14:paraId="23AF85A4">
            <w:pPr>
              <w:pStyle w:val="25"/>
              <w:spacing w:line="360" w:lineRule="auto"/>
              <w:ind w:left="172" w:right="83" w:hanging="68"/>
              <w:jc w:val="both"/>
              <w:rPr>
                <w:sz w:val="21"/>
                <w:szCs w:val="21"/>
                <w:highlight w:val="none"/>
              </w:rPr>
            </w:pPr>
            <w:r>
              <w:rPr>
                <w:spacing w:val="-16"/>
                <w:sz w:val="21"/>
                <w:szCs w:val="21"/>
                <w:highlight w:val="none"/>
              </w:rPr>
              <w:t>格式、填写要求符合</w:t>
            </w:r>
            <w:r>
              <w:rPr>
                <w:sz w:val="21"/>
                <w:szCs w:val="21"/>
                <w:highlight w:val="none"/>
              </w:rPr>
              <w:t>磋商文件规定并加盖供应商公章</w:t>
            </w:r>
          </w:p>
        </w:tc>
        <w:tc>
          <w:tcPr>
            <w:tcW w:w="3261" w:type="dxa"/>
            <w:tcBorders>
              <w:left w:val="single" w:color="auto" w:sz="4" w:space="0"/>
              <w:right w:val="single" w:color="auto" w:sz="4" w:space="0"/>
            </w:tcBorders>
            <w:shd w:val="clear" w:color="auto" w:fill="auto"/>
            <w:vAlign w:val="center"/>
          </w:tcPr>
          <w:p w14:paraId="2FEB0394">
            <w:pPr>
              <w:pStyle w:val="25"/>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sz w:val="21"/>
                <w:szCs w:val="21"/>
                <w:highlight w:val="none"/>
              </w:rPr>
            </w:pPr>
            <w:r>
              <w:rPr>
                <w:sz w:val="21"/>
                <w:szCs w:val="21"/>
                <w:highlight w:val="none"/>
              </w:rPr>
              <w:t>法定代表人参加磋商的无需此件， 提供身份证明即可。详见第六章响应文件格式</w:t>
            </w:r>
          </w:p>
        </w:tc>
      </w:tr>
      <w:tr w14:paraId="7E3CA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715" w:type="dxa"/>
            <w:shd w:val="clear" w:color="auto" w:fill="auto"/>
            <w:vAlign w:val="center"/>
          </w:tcPr>
          <w:p w14:paraId="14017EB5">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4</w:t>
            </w:r>
          </w:p>
        </w:tc>
        <w:tc>
          <w:tcPr>
            <w:tcW w:w="2127" w:type="dxa"/>
            <w:shd w:val="clear" w:color="auto" w:fill="auto"/>
            <w:vAlign w:val="center"/>
          </w:tcPr>
          <w:p w14:paraId="0237852A">
            <w:pPr>
              <w:pStyle w:val="25"/>
              <w:spacing w:before="158" w:line="360" w:lineRule="auto"/>
              <w:ind w:right="91" w:firstLine="210" w:firstLineChars="100"/>
              <w:jc w:val="center"/>
              <w:rPr>
                <w:sz w:val="21"/>
                <w:szCs w:val="21"/>
                <w:highlight w:val="none"/>
                <w:lang w:eastAsia="en-US"/>
              </w:rPr>
            </w:pPr>
            <w:r>
              <w:rPr>
                <w:sz w:val="21"/>
                <w:szCs w:val="21"/>
                <w:highlight w:val="none"/>
                <w:lang w:eastAsia="en-US"/>
              </w:rPr>
              <w:t>磋商报价</w:t>
            </w:r>
          </w:p>
        </w:tc>
        <w:tc>
          <w:tcPr>
            <w:tcW w:w="2393" w:type="dxa"/>
            <w:tcBorders>
              <w:right w:val="single" w:color="auto" w:sz="4" w:space="0"/>
            </w:tcBorders>
            <w:shd w:val="clear" w:color="auto" w:fill="auto"/>
            <w:vAlign w:val="center"/>
          </w:tcPr>
          <w:p w14:paraId="72166933">
            <w:pPr>
              <w:pStyle w:val="25"/>
              <w:spacing w:line="360" w:lineRule="auto"/>
              <w:ind w:left="141" w:right="121" w:firstLine="2"/>
              <w:jc w:val="center"/>
              <w:rPr>
                <w:sz w:val="21"/>
                <w:szCs w:val="21"/>
                <w:highlight w:val="none"/>
              </w:rPr>
            </w:pPr>
            <w:r>
              <w:rPr>
                <w:sz w:val="21"/>
                <w:szCs w:val="21"/>
                <w:highlight w:val="none"/>
              </w:rPr>
              <w:t>符合磋商文件</w:t>
            </w:r>
            <w:r>
              <w:rPr>
                <w:spacing w:val="-15"/>
                <w:sz w:val="21"/>
                <w:szCs w:val="21"/>
                <w:highlight w:val="none"/>
              </w:rPr>
              <w:t>要求</w:t>
            </w:r>
          </w:p>
        </w:tc>
        <w:tc>
          <w:tcPr>
            <w:tcW w:w="3261" w:type="dxa"/>
            <w:tcBorders>
              <w:left w:val="single" w:color="auto" w:sz="4" w:space="0"/>
              <w:right w:val="single" w:color="auto" w:sz="4" w:space="0"/>
            </w:tcBorders>
            <w:shd w:val="clear" w:color="auto" w:fill="auto"/>
            <w:vAlign w:val="center"/>
          </w:tcPr>
          <w:p w14:paraId="6D36FEAB">
            <w:pPr>
              <w:pStyle w:val="25"/>
              <w:keepNext w:val="0"/>
              <w:keepLines w:val="0"/>
              <w:pageBreakBefore w:val="0"/>
              <w:widowControl w:val="0"/>
              <w:kinsoku/>
              <w:wordWrap/>
              <w:overflowPunct/>
              <w:topLinePunct w:val="0"/>
              <w:autoSpaceDE w:val="0"/>
              <w:autoSpaceDN w:val="0"/>
              <w:bidi w:val="0"/>
              <w:adjustRightInd/>
              <w:snapToGrid/>
              <w:spacing w:before="184" w:line="360" w:lineRule="auto"/>
              <w:ind w:right="283" w:firstLine="210" w:firstLineChars="100"/>
              <w:textAlignment w:val="auto"/>
              <w:rPr>
                <w:sz w:val="21"/>
                <w:szCs w:val="21"/>
                <w:highlight w:val="none"/>
              </w:rPr>
            </w:pPr>
            <w:r>
              <w:rPr>
                <w:sz w:val="21"/>
                <w:szCs w:val="21"/>
                <w:highlight w:val="none"/>
              </w:rPr>
              <w:t>详见第六章响应文件格式</w:t>
            </w:r>
          </w:p>
        </w:tc>
      </w:tr>
      <w:tr w14:paraId="20FC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23EB75A2">
            <w:pPr>
              <w:pStyle w:val="25"/>
              <w:spacing w:before="9" w:line="360" w:lineRule="auto"/>
              <w:rPr>
                <w:sz w:val="21"/>
                <w:szCs w:val="21"/>
                <w:highlight w:val="none"/>
              </w:rPr>
            </w:pPr>
          </w:p>
          <w:p w14:paraId="6AF1A40B">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5</w:t>
            </w:r>
          </w:p>
        </w:tc>
        <w:tc>
          <w:tcPr>
            <w:tcW w:w="2127" w:type="dxa"/>
            <w:shd w:val="clear" w:color="auto" w:fill="auto"/>
            <w:vAlign w:val="center"/>
          </w:tcPr>
          <w:p w14:paraId="08263824">
            <w:pPr>
              <w:pStyle w:val="25"/>
              <w:spacing w:line="360" w:lineRule="auto"/>
              <w:ind w:right="74"/>
              <w:jc w:val="center"/>
              <w:rPr>
                <w:sz w:val="21"/>
                <w:szCs w:val="21"/>
                <w:highlight w:val="none"/>
                <w:lang w:eastAsia="en-US"/>
              </w:rPr>
            </w:pPr>
            <w:r>
              <w:rPr>
                <w:sz w:val="21"/>
                <w:szCs w:val="21"/>
                <w:highlight w:val="none"/>
                <w:lang w:eastAsia="en-US"/>
              </w:rPr>
              <w:t>商务响应情况</w:t>
            </w:r>
          </w:p>
        </w:tc>
        <w:tc>
          <w:tcPr>
            <w:tcW w:w="2393" w:type="dxa"/>
            <w:tcBorders>
              <w:right w:val="single" w:color="auto" w:sz="4" w:space="0"/>
            </w:tcBorders>
            <w:shd w:val="clear" w:color="auto" w:fill="auto"/>
            <w:vAlign w:val="center"/>
          </w:tcPr>
          <w:p w14:paraId="6630E653">
            <w:pPr>
              <w:pStyle w:val="25"/>
              <w:spacing w:line="360" w:lineRule="auto"/>
              <w:ind w:left="105" w:right="83"/>
              <w:jc w:val="center"/>
              <w:rPr>
                <w:sz w:val="21"/>
                <w:szCs w:val="21"/>
                <w:highlight w:val="none"/>
              </w:rPr>
            </w:pPr>
            <w:r>
              <w:rPr>
                <w:sz w:val="21"/>
                <w:szCs w:val="21"/>
                <w:highlight w:val="none"/>
              </w:rPr>
              <w:t>符合磋商文件要求</w:t>
            </w:r>
          </w:p>
        </w:tc>
        <w:tc>
          <w:tcPr>
            <w:tcW w:w="3261" w:type="dxa"/>
            <w:tcBorders>
              <w:left w:val="single" w:color="auto" w:sz="4" w:space="0"/>
              <w:right w:val="single" w:color="auto" w:sz="4" w:space="0"/>
            </w:tcBorders>
            <w:shd w:val="clear" w:color="auto" w:fill="auto"/>
            <w:vAlign w:val="center"/>
          </w:tcPr>
          <w:p w14:paraId="096F51E4">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3367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6C9CEA10">
            <w:pPr>
              <w:pStyle w:val="25"/>
              <w:spacing w:line="360" w:lineRule="auto"/>
              <w:rPr>
                <w:sz w:val="21"/>
                <w:szCs w:val="21"/>
                <w:highlight w:val="none"/>
              </w:rPr>
            </w:pPr>
          </w:p>
          <w:p w14:paraId="35AB7073">
            <w:pPr>
              <w:pStyle w:val="25"/>
              <w:spacing w:before="7" w:line="360" w:lineRule="auto"/>
              <w:rPr>
                <w:sz w:val="21"/>
                <w:szCs w:val="21"/>
                <w:highlight w:val="none"/>
              </w:rPr>
            </w:pPr>
          </w:p>
          <w:p w14:paraId="62B39D06">
            <w:pPr>
              <w:pStyle w:val="25"/>
              <w:spacing w:line="360" w:lineRule="auto"/>
              <w:ind w:left="102" w:right="83"/>
              <w:jc w:val="center"/>
              <w:rPr>
                <w:rFonts w:hint="default" w:eastAsia="宋体"/>
                <w:sz w:val="21"/>
                <w:szCs w:val="21"/>
                <w:highlight w:val="none"/>
                <w:lang w:val="en-US" w:eastAsia="zh-CN"/>
              </w:rPr>
            </w:pPr>
            <w:r>
              <w:rPr>
                <w:rFonts w:hint="eastAsia"/>
                <w:sz w:val="21"/>
                <w:szCs w:val="21"/>
                <w:highlight w:val="none"/>
                <w:lang w:val="en-US" w:eastAsia="zh-CN"/>
              </w:rPr>
              <w:t>6</w:t>
            </w:r>
          </w:p>
        </w:tc>
        <w:tc>
          <w:tcPr>
            <w:tcW w:w="2127" w:type="dxa"/>
            <w:shd w:val="clear" w:color="auto" w:fill="auto"/>
            <w:vAlign w:val="center"/>
          </w:tcPr>
          <w:p w14:paraId="5A45E381">
            <w:pPr>
              <w:pStyle w:val="25"/>
              <w:spacing w:line="360" w:lineRule="auto"/>
              <w:jc w:val="center"/>
              <w:rPr>
                <w:sz w:val="21"/>
                <w:szCs w:val="21"/>
                <w:highlight w:val="none"/>
                <w:lang w:eastAsia="en-US"/>
              </w:rPr>
            </w:pPr>
          </w:p>
          <w:p w14:paraId="06F77A55">
            <w:pPr>
              <w:pStyle w:val="25"/>
              <w:spacing w:before="8" w:line="360" w:lineRule="auto"/>
              <w:jc w:val="center"/>
              <w:rPr>
                <w:sz w:val="21"/>
                <w:szCs w:val="21"/>
                <w:highlight w:val="none"/>
                <w:lang w:eastAsia="en-US"/>
              </w:rPr>
            </w:pPr>
          </w:p>
          <w:p w14:paraId="6B8D2F42">
            <w:pPr>
              <w:pStyle w:val="25"/>
              <w:spacing w:line="360" w:lineRule="auto"/>
              <w:ind w:left="107" w:right="91"/>
              <w:jc w:val="center"/>
              <w:rPr>
                <w:sz w:val="21"/>
                <w:szCs w:val="21"/>
                <w:highlight w:val="none"/>
                <w:lang w:eastAsia="en-US"/>
              </w:rPr>
            </w:pPr>
            <w:r>
              <w:rPr>
                <w:sz w:val="21"/>
                <w:szCs w:val="21"/>
                <w:highlight w:val="none"/>
                <w:lang w:eastAsia="en-US"/>
              </w:rPr>
              <w:t>其他要求</w:t>
            </w:r>
          </w:p>
        </w:tc>
        <w:tc>
          <w:tcPr>
            <w:tcW w:w="2393" w:type="dxa"/>
            <w:tcBorders>
              <w:right w:val="single" w:color="000000" w:sz="6" w:space="0"/>
            </w:tcBorders>
            <w:shd w:val="clear" w:color="auto" w:fill="auto"/>
            <w:vAlign w:val="center"/>
          </w:tcPr>
          <w:p w14:paraId="387F1AE9">
            <w:pPr>
              <w:pStyle w:val="25"/>
              <w:spacing w:line="360" w:lineRule="auto"/>
              <w:ind w:left="105" w:right="83"/>
              <w:jc w:val="center"/>
              <w:rPr>
                <w:sz w:val="21"/>
                <w:szCs w:val="21"/>
                <w:highlight w:val="none"/>
              </w:rPr>
            </w:pPr>
            <w:r>
              <w:rPr>
                <w:spacing w:val="-16"/>
                <w:sz w:val="21"/>
                <w:szCs w:val="21"/>
                <w:highlight w:val="none"/>
              </w:rPr>
              <w:t>符合法律、行政法规</w:t>
            </w:r>
            <w:r>
              <w:rPr>
                <w:sz w:val="21"/>
                <w:szCs w:val="21"/>
                <w:highlight w:val="none"/>
              </w:rPr>
              <w:t>规定的其他条件或磋商文件列明的其他要求</w:t>
            </w:r>
          </w:p>
        </w:tc>
        <w:tc>
          <w:tcPr>
            <w:tcW w:w="3261" w:type="dxa"/>
            <w:tcBorders>
              <w:top w:val="single" w:color="auto" w:sz="4" w:space="0"/>
              <w:left w:val="single" w:color="000000" w:sz="6" w:space="0"/>
            </w:tcBorders>
            <w:shd w:val="clear" w:color="auto" w:fill="auto"/>
            <w:vAlign w:val="center"/>
          </w:tcPr>
          <w:p w14:paraId="3B403AEA">
            <w:pPr>
              <w:pStyle w:val="25"/>
              <w:spacing w:line="360" w:lineRule="auto"/>
              <w:rPr>
                <w:sz w:val="21"/>
                <w:szCs w:val="21"/>
                <w:highlight w:val="none"/>
              </w:rPr>
            </w:pPr>
            <w:r>
              <w:rPr>
                <w:rFonts w:hint="eastAsia"/>
                <w:sz w:val="21"/>
                <w:szCs w:val="21"/>
                <w:highlight w:val="none"/>
              </w:rPr>
              <w:t xml:space="preserve">    </w:t>
            </w:r>
          </w:p>
        </w:tc>
      </w:tr>
    </w:tbl>
    <w:p w14:paraId="4AA1835F">
      <w:pPr>
        <w:shd w:val="clear"/>
        <w:spacing w:line="360" w:lineRule="auto"/>
        <w:ind w:firstLine="435"/>
        <w:rPr>
          <w:rFonts w:ascii="宋体" w:hAnsi="宋体"/>
          <w:highlight w:val="none"/>
        </w:rPr>
      </w:pPr>
      <w:r>
        <w:rPr>
          <w:rFonts w:ascii="宋体" w:hAnsi="宋体"/>
          <w:b/>
          <w:highlight w:val="none"/>
        </w:rPr>
        <w:t>初审指标通过标准：</w:t>
      </w:r>
      <w:r>
        <w:rPr>
          <w:rFonts w:ascii="宋体" w:hAnsi="宋体"/>
          <w:highlight w:val="none"/>
        </w:rPr>
        <w:t>供应商必须通过初审表中的全部评审指标。</w:t>
      </w:r>
    </w:p>
    <w:p w14:paraId="4EC8BC89">
      <w:pPr>
        <w:shd w:val="clear"/>
        <w:spacing w:line="360" w:lineRule="auto"/>
        <w:ind w:firstLine="435"/>
        <w:rPr>
          <w:rFonts w:ascii="宋体" w:hAnsi="宋体"/>
          <w:highlight w:val="none"/>
        </w:rPr>
      </w:pPr>
    </w:p>
    <w:p w14:paraId="32A459D7">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异常低价</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审查</w:t>
      </w:r>
    </w:p>
    <w:tbl>
      <w:tblPr>
        <w:tblStyle w:val="17"/>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535"/>
        <w:gridCol w:w="4698"/>
        <w:gridCol w:w="2392"/>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序号</w:t>
            </w:r>
          </w:p>
        </w:tc>
        <w:tc>
          <w:tcPr>
            <w:tcW w:w="1450" w:type="dxa"/>
            <w:tcBorders>
              <w:bottom w:val="single" w:color="auto" w:sz="4" w:space="0"/>
            </w:tcBorders>
            <w:vAlign w:val="center"/>
          </w:tcPr>
          <w:p w14:paraId="242D7536">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评审指标</w:t>
            </w:r>
          </w:p>
        </w:tc>
        <w:tc>
          <w:tcPr>
            <w:tcW w:w="4439" w:type="dxa"/>
            <w:tcBorders>
              <w:bottom w:val="single" w:color="auto" w:sz="4" w:space="0"/>
            </w:tcBorders>
            <w:vAlign w:val="center"/>
          </w:tcPr>
          <w:p w14:paraId="63EC8315">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评审标准</w:t>
            </w:r>
          </w:p>
        </w:tc>
        <w:tc>
          <w:tcPr>
            <w:tcW w:w="2260" w:type="dxa"/>
            <w:tcBorders>
              <w:bottom w:val="single" w:color="auto" w:sz="4" w:space="0"/>
            </w:tcBorders>
            <w:vAlign w:val="center"/>
          </w:tcPr>
          <w:p w14:paraId="39E809DA">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05" w:type="dxa"/>
            <w:tcBorders>
              <w:bottom w:val="single" w:color="auto" w:sz="4" w:space="0"/>
            </w:tcBorders>
            <w:vAlign w:val="center"/>
          </w:tcPr>
          <w:p w14:paraId="53262601">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（1）报价＜全部通过初审供应商响应报价平均值×</w:t>
            </w:r>
            <w:permStart w:id="1" w:edGrp="everyone"/>
            <w:r>
              <w:rPr>
                <w:rFonts w:hint="eastAsia" w:ascii="宋体" w:hAnsi="宋体" w:eastAsia="宋体" w:cs="宋体"/>
                <w:color w:val="auto"/>
                <w:sz w:val="24"/>
                <w:highlight w:val="none"/>
                <w:lang w:val="en-US" w:eastAsia="zh-CN"/>
              </w:rPr>
              <w:t>50%</w:t>
            </w:r>
            <w:permEnd w:id="1"/>
            <w:r>
              <w:rPr>
                <w:rFonts w:hint="eastAsia" w:ascii="宋体" w:hAnsi="宋体" w:eastAsia="宋体" w:cs="宋体"/>
                <w:color w:val="auto"/>
                <w:sz w:val="24"/>
                <w:highlight w:val="none"/>
                <w:lang w:val="en-US" w:eastAsia="zh-CN"/>
              </w:rPr>
              <w:t>；</w:t>
            </w:r>
          </w:p>
          <w:p w14:paraId="12D6E1A2">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（2）报价＜通过初审的次低报价供应商响应报价×</w:t>
            </w:r>
            <w:permStart w:id="2" w:edGrp="everyone"/>
            <w:r>
              <w:rPr>
                <w:rFonts w:hint="eastAsia" w:ascii="宋体" w:hAnsi="宋体" w:eastAsia="宋体" w:cs="宋体"/>
                <w:color w:val="auto"/>
                <w:sz w:val="24"/>
                <w:highlight w:val="none"/>
                <w:lang w:val="en-US" w:eastAsia="zh-CN"/>
              </w:rPr>
              <w:t>50%</w:t>
            </w:r>
            <w:permEnd w:id="2"/>
            <w:r>
              <w:rPr>
                <w:rFonts w:hint="eastAsia" w:ascii="宋体" w:hAnsi="宋体" w:eastAsia="宋体" w:cs="宋体"/>
                <w:color w:val="auto"/>
                <w:sz w:val="24"/>
                <w:highlight w:val="none"/>
                <w:lang w:val="en-US" w:eastAsia="zh-CN"/>
              </w:rPr>
              <w:t>；</w:t>
            </w:r>
          </w:p>
          <w:p w14:paraId="595C90C5">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（3）报价＜采购项目最高限价（如采购项目未设定最高限价的，以采购项目预算金额作为最高限价）×</w:t>
            </w:r>
            <w:permStart w:id="3" w:edGrp="everyone"/>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5%</w:t>
            </w:r>
            <w:permEnd w:id="3"/>
            <w:r>
              <w:rPr>
                <w:rFonts w:hint="eastAsia" w:ascii="宋体" w:hAnsi="宋体" w:eastAsia="宋体" w:cs="宋体"/>
                <w:color w:val="auto"/>
                <w:sz w:val="24"/>
                <w:highlight w:val="none"/>
                <w:lang w:val="en-US" w:eastAsia="zh-CN"/>
              </w:rPr>
              <w:t>；</w:t>
            </w:r>
          </w:p>
          <w:p w14:paraId="6545F9B4">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（4）谈判小组基于专业判断，认为供应商报价过低，有可能影响产品质量或者不能诚信履约的其他情形。</w:t>
            </w:r>
          </w:p>
          <w:p w14:paraId="14FCFEF9">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提醒：</w:t>
            </w:r>
          </w:p>
          <w:p w14:paraId="0BE4D07D">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（1）上述第（1）项数值计算：涉及总价、单价的精确到“分”并四舍五入，涉及费率的精确到小数点后两位，第三位四舍五入（例：如平均值为123.456元，即为123.46元；如平均值为80.126%，即为80.13%）。</w:t>
            </w:r>
          </w:p>
          <w:p w14:paraId="73304083">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（2）上述报价均为供应商最后报价。</w:t>
            </w:r>
          </w:p>
        </w:tc>
        <w:tc>
          <w:tcPr>
            <w:tcW w:w="2260" w:type="dxa"/>
            <w:vAlign w:val="center"/>
          </w:tcPr>
          <w:p w14:paraId="4F4E35CC">
            <w:pPr>
              <w:shd w:val="clea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w:t>
      </w:r>
    </w:p>
    <w:p w14:paraId="57170614">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根据《关于推进解决政府采购异常低价问题的通知》（财库〔2026〕2号），采购人可以结合具体项目实际情况，提高上述评审标准第（1）项至第（3）项中的数值标准，但是最高不得超过65%。</w:t>
      </w:r>
    </w:p>
    <w:p w14:paraId="153DDD6B">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谈判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0B411230">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 </w:t>
      </w:r>
    </w:p>
    <w:p w14:paraId="5E1EB79E">
      <w:pPr>
        <w:shd w:val="clea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p>
    <w:p w14:paraId="1F7447B1">
      <w:pPr>
        <w:spacing w:before="1" w:line="360" w:lineRule="auto"/>
        <w:ind w:left="669"/>
        <w:rPr>
          <w:rFonts w:ascii="宋体" w:hAnsi="宋体"/>
          <w:highlight w:val="none"/>
        </w:rPr>
      </w:pPr>
    </w:p>
    <w:p w14:paraId="15CABE30">
      <w:pPr>
        <w:pStyle w:val="6"/>
        <w:numPr>
          <w:ilvl w:val="0"/>
          <w:numId w:val="0"/>
        </w:numPr>
        <w:ind w:left="669" w:leftChars="0" w:right="1503" w:rightChars="0"/>
        <w:rPr>
          <w:highlight w:val="none"/>
        </w:rPr>
      </w:pPr>
      <w:r>
        <w:rPr>
          <w:rFonts w:hint="eastAsia"/>
          <w:highlight w:val="none"/>
          <w:lang w:val="en-US" w:eastAsia="zh-CN"/>
        </w:rPr>
        <w:t>2.3</w:t>
      </w:r>
      <w:r>
        <w:rPr>
          <w:rFonts w:hint="eastAsia"/>
          <w:highlight w:val="none"/>
        </w:rPr>
        <w:t xml:space="preserve"> </w:t>
      </w:r>
      <w:r>
        <w:rPr>
          <w:highlight w:val="none"/>
        </w:rPr>
        <w:t>综合评分</w:t>
      </w:r>
    </w:p>
    <w:p w14:paraId="44833DCF">
      <w:pPr>
        <w:pStyle w:val="27"/>
        <w:numPr>
          <w:ilvl w:val="2"/>
          <w:numId w:val="0"/>
        </w:numPr>
        <w:tabs>
          <w:tab w:val="left" w:pos="1313"/>
        </w:tabs>
        <w:spacing w:before="158" w:line="360" w:lineRule="auto"/>
        <w:ind w:left="1312" w:leftChars="0" w:hanging="644" w:firstLineChars="0"/>
        <w:rPr>
          <w:sz w:val="21"/>
          <w:szCs w:val="21"/>
          <w:highlight w:val="none"/>
        </w:rPr>
      </w:pPr>
      <w:r>
        <w:rPr>
          <w:rFonts w:hint="default" w:ascii="宋体" w:hAnsi="宋体" w:eastAsia="宋体" w:cs="宋体"/>
          <w:w w:val="100"/>
          <w:kern w:val="0"/>
          <w:sz w:val="24"/>
          <w:szCs w:val="24"/>
          <w:lang w:val="zh-CN" w:eastAsia="zh-CN" w:bidi="zh-CN"/>
        </w:rPr>
        <w:t>2.</w:t>
      </w:r>
      <w:r>
        <w:rPr>
          <w:rFonts w:hint="eastAsia" w:cs="宋体"/>
          <w:w w:val="100"/>
          <w:kern w:val="0"/>
          <w:sz w:val="24"/>
          <w:szCs w:val="24"/>
          <w:lang w:val="en-US" w:eastAsia="zh-CN" w:bidi="zh-CN"/>
        </w:rPr>
        <w:t>3</w:t>
      </w:r>
      <w:r>
        <w:rPr>
          <w:rFonts w:hint="default" w:ascii="宋体" w:hAnsi="宋体" w:eastAsia="宋体" w:cs="宋体"/>
          <w:w w:val="100"/>
          <w:kern w:val="0"/>
          <w:sz w:val="24"/>
          <w:szCs w:val="24"/>
          <w:lang w:val="zh-CN" w:eastAsia="zh-CN" w:bidi="zh-CN"/>
        </w:rPr>
        <w:t>.1</w:t>
      </w:r>
      <w:r>
        <w:rPr>
          <w:sz w:val="21"/>
          <w:szCs w:val="21"/>
          <w:highlight w:val="none"/>
        </w:rPr>
        <w:t>磋商小组按照下表对进入综合评分的所有供应商的响应文件进行综合</w:t>
      </w:r>
      <w:r>
        <w:rPr>
          <w:rFonts w:hint="eastAsia"/>
          <w:sz w:val="21"/>
          <w:szCs w:val="21"/>
          <w:highlight w:val="none"/>
        </w:rPr>
        <w:t>评分。</w:t>
      </w:r>
    </w:p>
    <w:p w14:paraId="66F6F0D7">
      <w:pPr>
        <w:pStyle w:val="27"/>
        <w:numPr>
          <w:ilvl w:val="2"/>
          <w:numId w:val="0"/>
        </w:numPr>
        <w:tabs>
          <w:tab w:val="left" w:pos="834"/>
          <w:tab w:val="left" w:pos="1330"/>
          <w:tab w:val="left" w:pos="4435"/>
        </w:tabs>
        <w:spacing w:before="160" w:after="6" w:line="360" w:lineRule="auto"/>
        <w:ind w:left="234" w:leftChars="0" w:right="371" w:rightChars="0" w:firstLine="434" w:firstLineChars="0"/>
        <w:rPr>
          <w:sz w:val="21"/>
          <w:szCs w:val="21"/>
          <w:highlight w:val="none"/>
        </w:rPr>
      </w:pPr>
      <w:r>
        <w:rPr>
          <w:rFonts w:hint="default" w:ascii="宋体" w:hAnsi="宋体" w:eastAsia="宋体" w:cs="宋体"/>
          <w:w w:val="100"/>
          <w:kern w:val="0"/>
          <w:sz w:val="24"/>
          <w:szCs w:val="24"/>
          <w:lang w:val="zh-CN" w:eastAsia="zh-CN" w:bidi="zh-CN"/>
        </w:rPr>
        <w:t>2.</w:t>
      </w:r>
      <w:r>
        <w:rPr>
          <w:rFonts w:hint="eastAsia" w:cs="宋体"/>
          <w:w w:val="100"/>
          <w:kern w:val="0"/>
          <w:sz w:val="24"/>
          <w:szCs w:val="24"/>
          <w:lang w:val="en-US" w:eastAsia="zh-CN" w:bidi="zh-CN"/>
        </w:rPr>
        <w:t>3</w:t>
      </w:r>
      <w:r>
        <w:rPr>
          <w:rFonts w:hint="default" w:ascii="宋体" w:hAnsi="宋体" w:eastAsia="宋体" w:cs="宋体"/>
          <w:w w:val="100"/>
          <w:kern w:val="0"/>
          <w:sz w:val="24"/>
          <w:szCs w:val="24"/>
          <w:lang w:val="zh-CN" w:eastAsia="zh-CN" w:bidi="zh-CN"/>
        </w:rPr>
        <w:t>.2</w:t>
      </w:r>
      <w:r>
        <w:rPr>
          <w:sz w:val="21"/>
          <w:szCs w:val="21"/>
          <w:highlight w:val="none"/>
        </w:rPr>
        <w:t>本项目综合评分满分为</w:t>
      </w:r>
      <w:r>
        <w:rPr>
          <w:spacing w:val="-60"/>
          <w:sz w:val="21"/>
          <w:szCs w:val="21"/>
          <w:highlight w:val="none"/>
        </w:rPr>
        <w:t xml:space="preserve"> </w:t>
      </w:r>
      <w:r>
        <w:rPr>
          <w:sz w:val="21"/>
          <w:szCs w:val="21"/>
          <w:highlight w:val="none"/>
        </w:rPr>
        <w:t>100</w:t>
      </w:r>
      <w:r>
        <w:rPr>
          <w:spacing w:val="-60"/>
          <w:sz w:val="21"/>
          <w:szCs w:val="21"/>
          <w:highlight w:val="none"/>
        </w:rPr>
        <w:t xml:space="preserve"> </w:t>
      </w:r>
      <w:r>
        <w:rPr>
          <w:sz w:val="21"/>
          <w:szCs w:val="21"/>
          <w:highlight w:val="none"/>
        </w:rPr>
        <w:t>分</w:t>
      </w:r>
      <w:r>
        <w:rPr>
          <w:spacing w:val="-8"/>
          <w:sz w:val="21"/>
          <w:szCs w:val="21"/>
          <w:highlight w:val="none"/>
        </w:rPr>
        <w:t>，</w:t>
      </w:r>
      <w:r>
        <w:rPr>
          <w:sz w:val="21"/>
          <w:szCs w:val="21"/>
          <w:highlight w:val="none"/>
        </w:rPr>
        <w:t>其中</w:t>
      </w:r>
      <w:r>
        <w:rPr>
          <w:spacing w:val="-10"/>
          <w:sz w:val="21"/>
          <w:szCs w:val="21"/>
          <w:highlight w:val="none"/>
        </w:rPr>
        <w:t>：</w:t>
      </w:r>
      <w:r>
        <w:rPr>
          <w:sz w:val="21"/>
          <w:szCs w:val="21"/>
          <w:highlight w:val="none"/>
        </w:rPr>
        <w:t>技术资信分值占总分值的权</w:t>
      </w:r>
      <w:r>
        <w:rPr>
          <w:spacing w:val="-15"/>
          <w:sz w:val="21"/>
          <w:szCs w:val="21"/>
          <w:highlight w:val="none"/>
        </w:rPr>
        <w:t>重</w:t>
      </w:r>
      <w:r>
        <w:rPr>
          <w:sz w:val="21"/>
          <w:szCs w:val="21"/>
          <w:highlight w:val="none"/>
        </w:rPr>
        <w:t>为</w:t>
      </w:r>
      <w:r>
        <w:rPr>
          <w:sz w:val="21"/>
          <w:szCs w:val="21"/>
          <w:highlight w:val="none"/>
          <w:u w:val="single"/>
        </w:rPr>
        <w:t xml:space="preserve"> </w:t>
      </w:r>
      <w:r>
        <w:rPr>
          <w:rFonts w:hint="eastAsia"/>
          <w:sz w:val="21"/>
          <w:szCs w:val="21"/>
          <w:highlight w:val="none"/>
          <w:u w:val="single"/>
          <w:lang w:val="en-US" w:eastAsia="zh-CN"/>
        </w:rPr>
        <w:t>80</w:t>
      </w:r>
      <w:r>
        <w:rPr>
          <w:sz w:val="21"/>
          <w:szCs w:val="21"/>
          <w:highlight w:val="none"/>
        </w:rPr>
        <w:t>%，价格分值占总分值的权重为</w:t>
      </w:r>
      <w:r>
        <w:rPr>
          <w:rFonts w:hint="eastAsia"/>
          <w:sz w:val="21"/>
          <w:szCs w:val="21"/>
          <w:highlight w:val="none"/>
          <w:u w:val="single"/>
          <w:lang w:val="en-US" w:eastAsia="zh-CN"/>
        </w:rPr>
        <w:t>20</w:t>
      </w:r>
      <w:r>
        <w:rPr>
          <w:sz w:val="21"/>
          <w:szCs w:val="21"/>
          <w:highlight w:val="none"/>
        </w:rPr>
        <w:t>%。具体评分细则如下：</w:t>
      </w:r>
    </w:p>
    <w:tbl>
      <w:tblPr>
        <w:tblStyle w:val="17"/>
        <w:tblW w:w="929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185"/>
        <w:gridCol w:w="7017"/>
      </w:tblGrid>
      <w:tr w14:paraId="5DB2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90" w:type="dxa"/>
            <w:vAlign w:val="center"/>
          </w:tcPr>
          <w:p w14:paraId="0EB5447C">
            <w:pPr>
              <w:spacing w:before="181" w:line="377" w:lineRule="auto"/>
              <w:ind w:left="113" w:leftChars="0" w:right="105" w:rightChars="0"/>
              <w:jc w:val="center"/>
              <w:rPr>
                <w:rFonts w:hint="eastAsia"/>
                <w:b/>
                <w:bCs/>
                <w:highlight w:val="none"/>
              </w:rPr>
            </w:pPr>
            <w:r>
              <w:rPr>
                <w:rFonts w:hint="eastAsia"/>
                <w:b/>
                <w:bCs/>
                <w:highlight w:val="none"/>
              </w:rPr>
              <w:t>评审内容</w:t>
            </w:r>
          </w:p>
        </w:tc>
        <w:tc>
          <w:tcPr>
            <w:tcW w:w="8202" w:type="dxa"/>
            <w:gridSpan w:val="2"/>
            <w:vAlign w:val="center"/>
          </w:tcPr>
          <w:p w14:paraId="56C5F966">
            <w:pPr>
              <w:spacing w:before="181" w:line="377" w:lineRule="auto"/>
              <w:ind w:left="113" w:leftChars="0" w:right="105" w:rightChars="0"/>
              <w:jc w:val="center"/>
              <w:rPr>
                <w:rFonts w:hint="eastAsia"/>
                <w:b/>
                <w:bCs/>
                <w:highlight w:val="none"/>
              </w:rPr>
            </w:pPr>
            <w:r>
              <w:rPr>
                <w:rFonts w:hint="eastAsia"/>
                <w:b/>
                <w:bCs/>
                <w:highlight w:val="none"/>
              </w:rPr>
              <w:t>评审因素及分值</w:t>
            </w:r>
          </w:p>
        </w:tc>
      </w:tr>
      <w:tr w14:paraId="2942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090" w:type="dxa"/>
            <w:vMerge w:val="restart"/>
            <w:vAlign w:val="center"/>
          </w:tcPr>
          <w:p w14:paraId="2AA89133">
            <w:pPr>
              <w:spacing w:before="181" w:line="377" w:lineRule="auto"/>
              <w:ind w:left="113" w:right="105"/>
              <w:rPr>
                <w:rFonts w:hint="eastAsia" w:eastAsia="宋体"/>
                <w:highlight w:val="none"/>
                <w:lang w:val="en-US" w:eastAsia="zh-CN"/>
              </w:rPr>
            </w:pPr>
            <w:r>
              <w:rPr>
                <w:rFonts w:hint="eastAsia"/>
                <w:highlight w:val="none"/>
                <w:lang w:val="en-US" w:eastAsia="zh-CN"/>
              </w:rPr>
              <w:t>技术资信分（80</w:t>
            </w:r>
            <w:r>
              <w:rPr>
                <w:rFonts w:hint="eastAsia"/>
                <w:highlight w:val="none"/>
              </w:rPr>
              <w:t>分</w:t>
            </w:r>
            <w:r>
              <w:rPr>
                <w:rFonts w:hint="eastAsia"/>
                <w:highlight w:val="none"/>
                <w:lang w:eastAsia="zh-CN"/>
              </w:rPr>
              <w:t>）</w:t>
            </w:r>
          </w:p>
          <w:p w14:paraId="7A889E08">
            <w:pPr>
              <w:spacing w:before="181" w:line="377" w:lineRule="auto"/>
              <w:ind w:left="113" w:right="105"/>
              <w:rPr>
                <w:rFonts w:hint="eastAsia"/>
                <w:highlight w:val="none"/>
              </w:rPr>
            </w:pPr>
          </w:p>
          <w:p w14:paraId="2788814D">
            <w:pPr>
              <w:spacing w:before="181" w:line="377" w:lineRule="auto"/>
              <w:ind w:left="113" w:right="105"/>
              <w:rPr>
                <w:rFonts w:hint="eastAsia"/>
                <w:highlight w:val="none"/>
              </w:rPr>
            </w:pPr>
          </w:p>
          <w:p w14:paraId="462B81CE">
            <w:pPr>
              <w:spacing w:before="181" w:line="377" w:lineRule="auto"/>
              <w:ind w:left="113" w:right="105"/>
              <w:rPr>
                <w:rFonts w:hint="eastAsia"/>
                <w:highlight w:val="none"/>
              </w:rPr>
            </w:pPr>
          </w:p>
          <w:p w14:paraId="1E1CD051">
            <w:pPr>
              <w:spacing w:before="181" w:line="377" w:lineRule="auto"/>
              <w:ind w:left="113" w:right="105"/>
              <w:rPr>
                <w:rFonts w:hint="eastAsia"/>
                <w:highlight w:val="none"/>
              </w:rPr>
            </w:pPr>
          </w:p>
          <w:p w14:paraId="01049DEC">
            <w:pPr>
              <w:spacing w:before="181" w:line="377" w:lineRule="auto"/>
              <w:ind w:left="113" w:right="105"/>
              <w:rPr>
                <w:rFonts w:hint="eastAsia"/>
                <w:highlight w:val="none"/>
              </w:rPr>
            </w:pPr>
          </w:p>
          <w:p w14:paraId="4B55F2F9">
            <w:pPr>
              <w:spacing w:before="181" w:line="377" w:lineRule="auto"/>
              <w:ind w:left="113" w:right="105"/>
              <w:rPr>
                <w:rFonts w:hint="eastAsia"/>
                <w:highlight w:val="none"/>
              </w:rPr>
            </w:pPr>
          </w:p>
          <w:p w14:paraId="418B7B88">
            <w:pPr>
              <w:spacing w:before="181" w:line="377" w:lineRule="auto"/>
              <w:ind w:left="113" w:leftChars="0" w:right="105" w:rightChars="0"/>
              <w:rPr>
                <w:rFonts w:hint="eastAsia"/>
                <w:highlight w:val="none"/>
              </w:rPr>
            </w:pPr>
          </w:p>
        </w:tc>
        <w:tc>
          <w:tcPr>
            <w:tcW w:w="1185" w:type="dxa"/>
            <w:vAlign w:val="center"/>
          </w:tcPr>
          <w:p w14:paraId="478BC897">
            <w:pPr>
              <w:keepNext w:val="0"/>
              <w:keepLines w:val="0"/>
              <w:widowControl/>
              <w:suppressLineNumbers w:val="0"/>
              <w:jc w:val="left"/>
              <w:rPr>
                <w:rFonts w:hint="eastAsia"/>
                <w:highlight w:val="none"/>
              </w:rPr>
            </w:pPr>
            <w:r>
              <w:rPr>
                <w:rFonts w:hint="eastAsia" w:ascii="宋体" w:hAnsi="宋体" w:cs="宋体"/>
                <w:color w:val="000000"/>
                <w:kern w:val="0"/>
                <w:sz w:val="22"/>
                <w:szCs w:val="22"/>
                <w:highlight w:val="none"/>
                <w:lang w:val="en-US" w:eastAsia="zh-CN" w:bidi="ar"/>
              </w:rPr>
              <w:t>服务方案</w:t>
            </w:r>
            <w:r>
              <w:rPr>
                <w:rFonts w:hint="eastAsia"/>
                <w:highlight w:val="none"/>
              </w:rPr>
              <w:t>（</w:t>
            </w:r>
            <w:r>
              <w:rPr>
                <w:rFonts w:hint="eastAsia"/>
                <w:highlight w:val="none"/>
                <w:lang w:val="en-US" w:eastAsia="zh-CN"/>
              </w:rPr>
              <w:t>50</w:t>
            </w:r>
            <w:r>
              <w:rPr>
                <w:rFonts w:hint="eastAsia"/>
                <w:highlight w:val="none"/>
              </w:rPr>
              <w:t>分）</w:t>
            </w:r>
          </w:p>
        </w:tc>
        <w:tc>
          <w:tcPr>
            <w:tcW w:w="7017" w:type="dxa"/>
            <w:vAlign w:val="center"/>
          </w:tcPr>
          <w:p w14:paraId="199EF9FE">
            <w:pPr>
              <w:spacing w:before="181" w:line="240" w:lineRule="auto"/>
              <w:ind w:left="113" w:right="105"/>
              <w:rPr>
                <w:rFonts w:hint="eastAsia"/>
                <w:highlight w:val="none"/>
                <w:lang w:val="en-US" w:eastAsia="zh-CN"/>
              </w:rPr>
            </w:pPr>
            <w:r>
              <w:rPr>
                <w:rFonts w:hint="eastAsia"/>
                <w:highlight w:val="none"/>
              </w:rPr>
              <w:t>供应商根据本项目背景、需求制定完整的人力资源咨询服务方案，</w:t>
            </w:r>
            <w:r>
              <w:rPr>
                <w:rFonts w:hint="eastAsia"/>
                <w:highlight w:val="none"/>
                <w:lang w:val="en-US" w:eastAsia="zh-CN"/>
              </w:rPr>
              <w:t>包含以下：</w:t>
            </w:r>
          </w:p>
          <w:p w14:paraId="3E01A00A">
            <w:pPr>
              <w:spacing w:before="181" w:line="240" w:lineRule="auto"/>
              <w:ind w:left="113" w:right="105"/>
              <w:rPr>
                <w:rFonts w:hint="eastAsia"/>
                <w:highlight w:val="none"/>
              </w:rPr>
            </w:pPr>
            <w:r>
              <w:rPr>
                <w:rFonts w:hint="eastAsia"/>
                <w:highlight w:val="none"/>
              </w:rPr>
              <w:t>1、</w:t>
            </w:r>
            <w:r>
              <w:rPr>
                <w:rFonts w:hint="eastAsia"/>
                <w:highlight w:val="none"/>
                <w:lang w:val="en-US" w:eastAsia="zh-CN"/>
              </w:rPr>
              <w:t>对</w:t>
            </w:r>
            <w:r>
              <w:rPr>
                <w:rFonts w:hint="eastAsia"/>
                <w:highlight w:val="none"/>
              </w:rPr>
              <w:t xml:space="preserve">项目理解与分析 </w:t>
            </w:r>
          </w:p>
          <w:p w14:paraId="34DAC5E0">
            <w:pPr>
              <w:spacing w:before="181" w:line="240" w:lineRule="auto"/>
              <w:ind w:left="113" w:right="105"/>
              <w:rPr>
                <w:rFonts w:hint="eastAsia"/>
                <w:highlight w:val="none"/>
              </w:rPr>
            </w:pPr>
            <w:r>
              <w:rPr>
                <w:rFonts w:hint="eastAsia"/>
                <w:highlight w:val="none"/>
              </w:rPr>
              <w:t>2、服务内容与实施计划</w:t>
            </w:r>
          </w:p>
          <w:p w14:paraId="062E7838">
            <w:pPr>
              <w:spacing w:before="181" w:line="240" w:lineRule="auto"/>
              <w:ind w:left="113" w:right="105"/>
              <w:rPr>
                <w:rFonts w:hint="eastAsia"/>
                <w:highlight w:val="none"/>
              </w:rPr>
            </w:pPr>
            <w:r>
              <w:rPr>
                <w:rFonts w:hint="eastAsia"/>
                <w:highlight w:val="none"/>
              </w:rPr>
              <w:t>3、项目服务流程</w:t>
            </w:r>
          </w:p>
          <w:p w14:paraId="1480EE67">
            <w:pPr>
              <w:spacing w:before="181" w:line="240" w:lineRule="auto"/>
              <w:ind w:left="113" w:right="105"/>
              <w:rPr>
                <w:rFonts w:hint="eastAsia"/>
                <w:highlight w:val="none"/>
              </w:rPr>
            </w:pPr>
            <w:r>
              <w:rPr>
                <w:rFonts w:hint="eastAsia"/>
                <w:highlight w:val="none"/>
              </w:rPr>
              <w:t xml:space="preserve">4、质量保障措施 </w:t>
            </w:r>
          </w:p>
          <w:p w14:paraId="3389291A">
            <w:pPr>
              <w:spacing w:before="181" w:line="240" w:lineRule="auto"/>
              <w:ind w:left="113" w:right="105"/>
              <w:rPr>
                <w:rFonts w:hint="eastAsia"/>
                <w:highlight w:val="none"/>
              </w:rPr>
            </w:pPr>
            <w:r>
              <w:rPr>
                <w:rFonts w:hint="eastAsia"/>
                <w:highlight w:val="none"/>
              </w:rPr>
              <w:t xml:space="preserve">5、成果交付与后续服务 </w:t>
            </w:r>
          </w:p>
          <w:p w14:paraId="3B7212F7">
            <w:pPr>
              <w:spacing w:before="181" w:line="377" w:lineRule="auto"/>
              <w:ind w:left="113" w:right="105"/>
              <w:rPr>
                <w:rFonts w:hint="eastAsia"/>
                <w:b/>
                <w:bCs/>
              </w:rPr>
            </w:pPr>
            <w:r>
              <w:rPr>
                <w:rFonts w:hint="eastAsia" w:ascii="Times New Roman" w:hAnsi="Times New Roman" w:eastAsia="宋体" w:cs="Times New Roman"/>
                <w:b/>
                <w:bCs/>
                <w:kern w:val="2"/>
                <w:sz w:val="21"/>
                <w:szCs w:val="21"/>
                <w:highlight w:val="none"/>
                <w:lang w:val="en-US" w:eastAsia="zh-CN" w:bidi="ar-SA"/>
              </w:rPr>
              <w:t>以上</w:t>
            </w:r>
            <w:r>
              <w:rPr>
                <w:rFonts w:hint="eastAsia" w:cs="Times New Roman"/>
                <w:b/>
                <w:bCs/>
                <w:kern w:val="2"/>
                <w:sz w:val="21"/>
                <w:szCs w:val="21"/>
                <w:highlight w:val="none"/>
                <w:lang w:val="en-US" w:eastAsia="zh-CN" w:bidi="ar-SA"/>
              </w:rPr>
              <w:t>5</w:t>
            </w:r>
            <w:r>
              <w:rPr>
                <w:rFonts w:hint="eastAsia" w:ascii="Times New Roman" w:hAnsi="Times New Roman" w:eastAsia="宋体" w:cs="Times New Roman"/>
                <w:b/>
                <w:bCs/>
                <w:kern w:val="2"/>
                <w:sz w:val="21"/>
                <w:szCs w:val="21"/>
                <w:highlight w:val="none"/>
                <w:lang w:val="en-US" w:eastAsia="zh-CN" w:bidi="ar-SA"/>
              </w:rPr>
              <w:t>个小项，每项各</w:t>
            </w:r>
            <w:r>
              <w:rPr>
                <w:rFonts w:hint="eastAsia" w:cs="Times New Roman"/>
                <w:b/>
                <w:bCs/>
                <w:kern w:val="2"/>
                <w:sz w:val="21"/>
                <w:szCs w:val="21"/>
                <w:highlight w:val="none"/>
                <w:lang w:val="en-US" w:eastAsia="zh-CN" w:bidi="ar-SA"/>
              </w:rPr>
              <w:t>10</w:t>
            </w:r>
            <w:r>
              <w:rPr>
                <w:rFonts w:hint="eastAsia" w:ascii="Times New Roman" w:hAnsi="Times New Roman" w:eastAsia="宋体" w:cs="Times New Roman"/>
                <w:b/>
                <w:bCs/>
                <w:kern w:val="2"/>
                <w:sz w:val="21"/>
                <w:szCs w:val="21"/>
                <w:highlight w:val="none"/>
                <w:lang w:val="en-US" w:eastAsia="zh-CN" w:bidi="ar-SA"/>
              </w:rPr>
              <w:t>分，满分</w:t>
            </w:r>
            <w:r>
              <w:rPr>
                <w:rFonts w:hint="eastAsia" w:cs="Times New Roman"/>
                <w:b/>
                <w:bCs/>
                <w:kern w:val="2"/>
                <w:sz w:val="21"/>
                <w:szCs w:val="21"/>
                <w:highlight w:val="none"/>
                <w:lang w:val="en-US" w:eastAsia="zh-CN" w:bidi="ar-SA"/>
              </w:rPr>
              <w:t>50</w:t>
            </w:r>
            <w:r>
              <w:rPr>
                <w:rFonts w:hint="eastAsia" w:ascii="Times New Roman" w:hAnsi="Times New Roman" w:eastAsia="宋体" w:cs="Times New Roman"/>
                <w:b/>
                <w:bCs/>
                <w:kern w:val="2"/>
                <w:sz w:val="21"/>
                <w:szCs w:val="21"/>
                <w:highlight w:val="none"/>
                <w:lang w:val="en-US" w:eastAsia="zh-CN" w:bidi="ar-SA"/>
              </w:rPr>
              <w:t>分。磋商小组根据供应商提供的以上内容对每项进行综合评分：</w:t>
            </w:r>
            <w:r>
              <w:rPr>
                <w:rFonts w:hint="eastAsia"/>
                <w:b/>
                <w:bCs/>
              </w:rPr>
              <w:t xml:space="preserve"> </w:t>
            </w:r>
          </w:p>
          <w:p w14:paraId="7E2182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right="85" w:rightChars="0"/>
              <w:textAlignment w:val="auto"/>
              <w:rPr>
                <w:rFonts w:hint="eastAsia"/>
                <w:highlight w:val="none"/>
                <w:lang w:val="en-US"/>
              </w:rPr>
            </w:pPr>
            <w:r>
              <w:rPr>
                <w:rFonts w:hint="eastAsia"/>
                <w:highlight w:val="none"/>
                <w:lang w:val="en-US"/>
              </w:rPr>
              <w:t>(</w:t>
            </w:r>
            <w:r>
              <w:rPr>
                <w:rFonts w:hint="eastAsia"/>
                <w:highlight w:val="none"/>
                <w:lang w:val="en-US" w:eastAsia="zh-CN"/>
              </w:rPr>
              <w:t>1</w:t>
            </w:r>
            <w:r>
              <w:rPr>
                <w:rFonts w:hint="eastAsia"/>
                <w:highlight w:val="none"/>
                <w:lang w:val="en-US"/>
              </w:rPr>
              <w:t>)方案覆盖全面、要点突出、针对性强，内容完整详实，表述清晰，与本项目有较高适用度，利于项目实施的</w:t>
            </w:r>
            <w:r>
              <w:rPr>
                <w:rFonts w:hint="eastAsia"/>
                <w:highlight w:val="none"/>
                <w:lang w:val="en-US" w:eastAsia="zh-CN"/>
              </w:rPr>
              <w:t>10</w:t>
            </w:r>
            <w:r>
              <w:rPr>
                <w:rFonts w:hint="eastAsia"/>
                <w:highlight w:val="none"/>
                <w:lang w:val="en-US"/>
              </w:rPr>
              <w:t>分；</w:t>
            </w:r>
          </w:p>
          <w:p w14:paraId="768C5E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right="85" w:rightChars="0"/>
              <w:textAlignment w:val="auto"/>
              <w:rPr>
                <w:rFonts w:hint="eastAsia"/>
                <w:highlight w:val="none"/>
                <w:lang w:val="en-US"/>
              </w:rPr>
            </w:pPr>
            <w:r>
              <w:rPr>
                <w:rFonts w:hint="eastAsia"/>
                <w:highlight w:val="none"/>
                <w:lang w:val="en-US"/>
              </w:rPr>
              <w:t>(2)有一定针对性，内容完整详实，表述清晰，与本项目实际要求有一定适应度，符合项目实施的得</w:t>
            </w:r>
            <w:r>
              <w:rPr>
                <w:rFonts w:hint="eastAsia"/>
                <w:highlight w:val="none"/>
                <w:lang w:val="en-US" w:eastAsia="zh-CN"/>
              </w:rPr>
              <w:t>8</w:t>
            </w:r>
            <w:r>
              <w:rPr>
                <w:rFonts w:hint="eastAsia"/>
                <w:highlight w:val="none"/>
                <w:lang w:val="en-US"/>
              </w:rPr>
              <w:t>分；</w:t>
            </w:r>
          </w:p>
          <w:p w14:paraId="61B343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right="85" w:rightChars="0"/>
              <w:textAlignment w:val="auto"/>
              <w:rPr>
                <w:rFonts w:hint="eastAsia"/>
                <w:highlight w:val="none"/>
                <w:lang w:val="en-US"/>
              </w:rPr>
            </w:pPr>
            <w:r>
              <w:rPr>
                <w:rFonts w:hint="eastAsia"/>
                <w:highlight w:val="none"/>
                <w:lang w:val="en-US"/>
              </w:rPr>
              <w:t>(3)方案要点无重点，无针对性的得</w:t>
            </w:r>
            <w:r>
              <w:rPr>
                <w:rFonts w:hint="eastAsia"/>
                <w:highlight w:val="none"/>
                <w:lang w:val="en-US" w:eastAsia="zh-CN"/>
              </w:rPr>
              <w:t>4</w:t>
            </w:r>
            <w:r>
              <w:rPr>
                <w:rFonts w:hint="eastAsia"/>
                <w:highlight w:val="none"/>
                <w:lang w:val="en-US"/>
              </w:rPr>
              <w:t>分。</w:t>
            </w:r>
          </w:p>
          <w:p w14:paraId="0E16AD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50" w:right="85" w:rightChars="0" w:firstLine="0" w:firstLineChars="0"/>
              <w:textAlignment w:val="auto"/>
              <w:rPr>
                <w:rFonts w:hint="eastAsia"/>
                <w:highlight w:val="none"/>
              </w:rPr>
            </w:pPr>
            <w:r>
              <w:rPr>
                <w:rFonts w:hint="eastAsia"/>
                <w:highlight w:val="none"/>
                <w:lang w:val="en-US"/>
              </w:rPr>
              <w:t>(</w:t>
            </w:r>
            <w:r>
              <w:rPr>
                <w:rFonts w:hint="eastAsia"/>
                <w:highlight w:val="none"/>
                <w:lang w:val="en-US" w:eastAsia="zh-CN"/>
              </w:rPr>
              <w:t>4</w:t>
            </w:r>
            <w:r>
              <w:rPr>
                <w:rFonts w:hint="eastAsia"/>
                <w:highlight w:val="none"/>
                <w:lang w:val="en-US"/>
              </w:rPr>
              <w:t>)未提供的不得分。</w:t>
            </w:r>
          </w:p>
        </w:tc>
      </w:tr>
      <w:tr w14:paraId="501D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090" w:type="dxa"/>
            <w:vMerge w:val="continue"/>
            <w:vAlign w:val="center"/>
          </w:tcPr>
          <w:p w14:paraId="6745A1E4">
            <w:pPr>
              <w:spacing w:before="181" w:line="377" w:lineRule="auto"/>
              <w:ind w:left="113" w:leftChars="0" w:right="105" w:rightChars="0"/>
              <w:rPr>
                <w:rFonts w:hint="eastAsia"/>
                <w:highlight w:val="none"/>
              </w:rPr>
            </w:pPr>
          </w:p>
        </w:tc>
        <w:tc>
          <w:tcPr>
            <w:tcW w:w="1185" w:type="dxa"/>
            <w:vAlign w:val="center"/>
          </w:tcPr>
          <w:p w14:paraId="7A76A735">
            <w:pPr>
              <w:spacing w:before="181" w:line="377" w:lineRule="auto"/>
              <w:ind w:left="113" w:leftChars="0" w:right="105" w:rightChars="0"/>
              <w:rPr>
                <w:rFonts w:hint="eastAsia"/>
                <w:highlight w:val="none"/>
                <w:lang w:val="en-US" w:eastAsia="zh-CN"/>
              </w:rPr>
            </w:pPr>
            <w:r>
              <w:rPr>
                <w:rFonts w:hint="eastAsia"/>
                <w:highlight w:val="none"/>
                <w:lang w:val="en-US" w:eastAsia="zh-CN"/>
              </w:rPr>
              <w:t>综合实力（8分）</w:t>
            </w:r>
          </w:p>
        </w:tc>
        <w:tc>
          <w:tcPr>
            <w:tcW w:w="7017" w:type="dxa"/>
            <w:vAlign w:val="center"/>
          </w:tcPr>
          <w:p w14:paraId="3BB6079B">
            <w:pPr>
              <w:numPr>
                <w:ilvl w:val="0"/>
                <w:numId w:val="0"/>
              </w:numPr>
              <w:spacing w:before="181" w:line="377" w:lineRule="auto"/>
              <w:ind w:leftChars="0" w:right="105" w:rightChars="0"/>
              <w:rPr>
                <w:rFonts w:hint="default"/>
                <w:highlight w:val="none"/>
                <w:lang w:val="en-US" w:eastAsia="zh-CN"/>
              </w:rPr>
            </w:pPr>
            <w:r>
              <w:rPr>
                <w:rFonts w:hint="default"/>
                <w:highlight w:val="none"/>
                <w:lang w:val="en-US" w:eastAsia="zh-CN"/>
              </w:rPr>
              <w:t>1.供应商具有经中国国家认证认可监督管理委员会认证机构颁发的以下认证，每提供1个证书得</w:t>
            </w:r>
            <w:r>
              <w:rPr>
                <w:rFonts w:hint="eastAsia"/>
                <w:highlight w:val="none"/>
                <w:lang w:val="en-US" w:eastAsia="zh-CN"/>
              </w:rPr>
              <w:t>2</w:t>
            </w:r>
            <w:r>
              <w:rPr>
                <w:rFonts w:hint="default"/>
                <w:highlight w:val="none"/>
                <w:lang w:val="en-US" w:eastAsia="zh-CN"/>
              </w:rPr>
              <w:t>分，最高得</w:t>
            </w:r>
            <w:r>
              <w:rPr>
                <w:rFonts w:hint="eastAsia"/>
                <w:highlight w:val="none"/>
                <w:lang w:val="en-US" w:eastAsia="zh-CN"/>
              </w:rPr>
              <w:t>8</w:t>
            </w:r>
            <w:r>
              <w:rPr>
                <w:rFonts w:hint="default"/>
                <w:highlight w:val="none"/>
                <w:lang w:val="en-US" w:eastAsia="zh-CN"/>
              </w:rPr>
              <w:t>分：</w:t>
            </w:r>
          </w:p>
          <w:p w14:paraId="3D26FC5C">
            <w:pPr>
              <w:numPr>
                <w:ilvl w:val="0"/>
                <w:numId w:val="0"/>
              </w:numPr>
              <w:spacing w:before="181" w:line="377" w:lineRule="auto"/>
              <w:ind w:leftChars="0" w:right="105" w:rightChars="0"/>
              <w:rPr>
                <w:rFonts w:hint="default"/>
                <w:highlight w:val="none"/>
                <w:lang w:val="en-US" w:eastAsia="zh-CN"/>
              </w:rPr>
            </w:pPr>
            <w:r>
              <w:rPr>
                <w:rFonts w:hint="default"/>
                <w:highlight w:val="none"/>
                <w:lang w:val="en-US" w:eastAsia="zh-CN"/>
              </w:rPr>
              <w:t>（1）质量管理体系认证；（2）环境管理体系认证；（3）职业健康安全管理体系认证；（4）信息安全管理体系认证证书。</w:t>
            </w:r>
          </w:p>
          <w:p w14:paraId="5F640552">
            <w:pPr>
              <w:numPr>
                <w:ilvl w:val="0"/>
                <w:numId w:val="0"/>
              </w:numPr>
              <w:spacing w:before="181" w:line="377" w:lineRule="auto"/>
              <w:ind w:left="0" w:leftChars="0" w:right="105" w:rightChars="0" w:firstLine="0" w:firstLineChars="0"/>
              <w:rPr>
                <w:rFonts w:hint="default"/>
                <w:highlight w:val="none"/>
                <w:lang w:val="en-US" w:eastAsia="zh-CN"/>
              </w:rPr>
            </w:pPr>
            <w:r>
              <w:rPr>
                <w:rFonts w:hint="default"/>
                <w:highlight w:val="none"/>
                <w:lang w:val="en-US" w:eastAsia="zh-CN"/>
              </w:rPr>
              <w:t>备注：须提供证书扫描件，同时提供全国认证认可信息公共服务平台网站证书信息查询截图，否则不得分</w:t>
            </w:r>
            <w:r>
              <w:rPr>
                <w:rFonts w:hint="eastAsia"/>
                <w:highlight w:val="none"/>
                <w:lang w:val="en-US" w:eastAsia="zh-CN"/>
              </w:rPr>
              <w:t>。</w:t>
            </w:r>
          </w:p>
        </w:tc>
      </w:tr>
      <w:tr w14:paraId="453A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090" w:type="dxa"/>
            <w:vMerge w:val="continue"/>
            <w:vAlign w:val="center"/>
          </w:tcPr>
          <w:p w14:paraId="6F4C5F66">
            <w:pPr>
              <w:spacing w:before="181" w:line="377" w:lineRule="auto"/>
              <w:ind w:left="113" w:leftChars="0" w:right="105" w:rightChars="0"/>
              <w:rPr>
                <w:rFonts w:hint="eastAsia"/>
                <w:highlight w:val="none"/>
              </w:rPr>
            </w:pPr>
          </w:p>
        </w:tc>
        <w:tc>
          <w:tcPr>
            <w:tcW w:w="1185" w:type="dxa"/>
            <w:vAlign w:val="center"/>
          </w:tcPr>
          <w:p w14:paraId="6A9CCD6E">
            <w:pPr>
              <w:spacing w:before="181" w:line="377" w:lineRule="auto"/>
              <w:ind w:left="113" w:leftChars="0" w:right="105" w:rightChars="0"/>
              <w:rPr>
                <w:rFonts w:hint="default"/>
                <w:highlight w:val="none"/>
                <w:lang w:val="en-US" w:eastAsia="zh-CN"/>
              </w:rPr>
            </w:pPr>
            <w:r>
              <w:rPr>
                <w:rFonts w:hint="eastAsia"/>
                <w:highlight w:val="none"/>
                <w:lang w:val="en-US" w:eastAsia="zh-CN"/>
              </w:rPr>
              <w:t>企业业绩（  12分）</w:t>
            </w:r>
          </w:p>
        </w:tc>
        <w:tc>
          <w:tcPr>
            <w:tcW w:w="7017" w:type="dxa"/>
            <w:vAlign w:val="center"/>
          </w:tcPr>
          <w:p w14:paraId="125BE73A">
            <w:pPr>
              <w:numPr>
                <w:ilvl w:val="0"/>
                <w:numId w:val="17"/>
              </w:numPr>
              <w:spacing w:before="181" w:line="377" w:lineRule="auto"/>
              <w:ind w:left="0" w:leftChars="0" w:right="105" w:rightChars="0" w:firstLine="0" w:firstLineChars="0"/>
              <w:rPr>
                <w:rFonts w:hint="default"/>
                <w:highlight w:val="none"/>
                <w:lang w:val="en-US" w:eastAsia="zh-CN"/>
              </w:rPr>
            </w:pPr>
            <w:r>
              <w:rPr>
                <w:rFonts w:hint="default"/>
                <w:highlight w:val="none"/>
                <w:lang w:val="en-US" w:eastAsia="zh-CN"/>
              </w:rPr>
              <w:t>业绩类型：自2023年1月以来，</w:t>
            </w:r>
            <w:r>
              <w:rPr>
                <w:rFonts w:hint="default" w:ascii="Times New Roman" w:hAnsi="Times New Roman" w:eastAsia="宋体" w:cs="Times New Roman"/>
                <w:sz w:val="21"/>
                <w:szCs w:val="21"/>
                <w:highlight w:val="none"/>
                <w:vertAlign w:val="baseline"/>
                <w:lang w:val="en-US" w:eastAsia="zh-CN"/>
              </w:rPr>
              <w:t>供应商每提供一个类似项目业绩得</w:t>
            </w:r>
            <w:r>
              <w:rPr>
                <w:rFonts w:hint="eastAsia"/>
                <w:highlight w:val="none"/>
                <w:lang w:val="en-US" w:eastAsia="zh-CN"/>
              </w:rPr>
              <w:t>4</w:t>
            </w:r>
            <w:r>
              <w:rPr>
                <w:rFonts w:hint="default"/>
                <w:highlight w:val="none"/>
                <w:lang w:val="en-US" w:eastAsia="zh-CN"/>
              </w:rPr>
              <w:t>分，满分</w:t>
            </w:r>
            <w:r>
              <w:rPr>
                <w:rFonts w:hint="eastAsia"/>
                <w:highlight w:val="none"/>
                <w:lang w:val="en-US" w:eastAsia="zh-CN"/>
              </w:rPr>
              <w:t>12</w:t>
            </w:r>
            <w:r>
              <w:rPr>
                <w:rFonts w:hint="default"/>
                <w:highlight w:val="none"/>
                <w:lang w:val="en-US" w:eastAsia="zh-CN"/>
              </w:rPr>
              <w:t>分</w:t>
            </w:r>
            <w:r>
              <w:rPr>
                <w:rFonts w:hint="eastAsia"/>
                <w:highlight w:val="none"/>
                <w:lang w:val="en-US" w:eastAsia="zh-CN"/>
              </w:rPr>
              <w:t>。</w:t>
            </w:r>
          </w:p>
          <w:p w14:paraId="0E813081">
            <w:pPr>
              <w:numPr>
                <w:ilvl w:val="0"/>
                <w:numId w:val="0"/>
              </w:numPr>
              <w:spacing w:before="181" w:line="377" w:lineRule="auto"/>
              <w:ind w:left="0" w:leftChars="0" w:right="105" w:rightChars="0" w:firstLine="0" w:firstLineChars="0"/>
              <w:rPr>
                <w:rFonts w:hint="eastAsia"/>
                <w:highlight w:val="none"/>
                <w:lang w:val="en-US" w:eastAsia="zh-CN"/>
              </w:rPr>
            </w:pPr>
            <w:r>
              <w:rPr>
                <w:rFonts w:hint="default"/>
                <w:highlight w:val="none"/>
                <w:lang w:val="en-US" w:eastAsia="zh-CN"/>
              </w:rPr>
              <w:t>备注：响应文件中须提供业绩合同扫描件/影印件；若合同无法体现项目内容、服务对象、合同签订时间等评审因素，须另附业主（合同甲方）盖章的证明材料，否则不予认可。</w:t>
            </w:r>
          </w:p>
        </w:tc>
      </w:tr>
      <w:tr w14:paraId="5105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090" w:type="dxa"/>
            <w:vMerge w:val="continue"/>
            <w:vAlign w:val="center"/>
          </w:tcPr>
          <w:p w14:paraId="5DE277BD">
            <w:pPr>
              <w:spacing w:before="181" w:line="377" w:lineRule="auto"/>
              <w:ind w:left="113" w:leftChars="0" w:right="105" w:rightChars="0"/>
              <w:rPr>
                <w:rFonts w:hint="eastAsia"/>
                <w:highlight w:val="none"/>
              </w:rPr>
            </w:pPr>
          </w:p>
        </w:tc>
        <w:tc>
          <w:tcPr>
            <w:tcW w:w="1185" w:type="dxa"/>
            <w:vAlign w:val="center"/>
          </w:tcPr>
          <w:p w14:paraId="6D0A51DE">
            <w:pPr>
              <w:spacing w:before="181" w:line="377" w:lineRule="auto"/>
              <w:ind w:left="113" w:leftChars="0" w:right="105" w:rightChars="0"/>
              <w:rPr>
                <w:rFonts w:hint="default" w:eastAsia="宋体"/>
                <w:highlight w:val="none"/>
                <w:lang w:val="en-US" w:eastAsia="zh-CN"/>
              </w:rPr>
            </w:pPr>
            <w:r>
              <w:rPr>
                <w:rFonts w:hint="eastAsia"/>
                <w:highlight w:val="none"/>
                <w:lang w:val="en-US" w:eastAsia="zh-CN"/>
              </w:rPr>
              <w:t>人员配备（10分）</w:t>
            </w:r>
          </w:p>
        </w:tc>
        <w:tc>
          <w:tcPr>
            <w:tcW w:w="7017" w:type="dxa"/>
            <w:vAlign w:val="center"/>
          </w:tcPr>
          <w:p w14:paraId="13A25CFF">
            <w:pPr>
              <w:numPr>
                <w:ilvl w:val="0"/>
                <w:numId w:val="0"/>
              </w:numPr>
              <w:spacing w:before="181" w:line="240" w:lineRule="auto"/>
              <w:ind w:right="105" w:rightChars="0"/>
              <w:rPr>
                <w:rFonts w:hint="default"/>
                <w:highlight w:val="none"/>
                <w:lang w:val="en-US"/>
              </w:rPr>
            </w:pPr>
            <w:r>
              <w:rPr>
                <w:rFonts w:hint="eastAsia"/>
                <w:highlight w:val="none"/>
                <w:lang w:val="en-US" w:eastAsia="zh-CN"/>
              </w:rPr>
              <w:t>1、</w:t>
            </w:r>
            <w:r>
              <w:rPr>
                <w:rFonts w:hint="default"/>
                <w:highlight w:val="none"/>
                <w:lang w:val="en-US"/>
              </w:rPr>
              <w:t>项目负责人（满分</w:t>
            </w:r>
            <w:r>
              <w:rPr>
                <w:rFonts w:hint="eastAsia"/>
                <w:highlight w:val="none"/>
                <w:lang w:val="en-US" w:eastAsia="zh-CN"/>
              </w:rPr>
              <w:t>4</w:t>
            </w:r>
            <w:r>
              <w:rPr>
                <w:rFonts w:hint="default"/>
                <w:highlight w:val="none"/>
                <w:lang w:val="en-US"/>
              </w:rPr>
              <w:t>分）：</w:t>
            </w:r>
          </w:p>
          <w:p w14:paraId="7515A76D">
            <w:pPr>
              <w:numPr>
                <w:ilvl w:val="0"/>
                <w:numId w:val="0"/>
              </w:numPr>
              <w:spacing w:before="181" w:line="240" w:lineRule="auto"/>
              <w:ind w:right="105" w:rightChars="0"/>
              <w:rPr>
                <w:rFonts w:hint="default"/>
                <w:highlight w:val="none"/>
                <w:lang w:val="en-US"/>
              </w:rPr>
            </w:pPr>
            <w:r>
              <w:rPr>
                <w:rFonts w:hint="default"/>
                <w:highlight w:val="none"/>
                <w:lang w:val="en-US"/>
              </w:rPr>
              <w:t>具有人力资源管理相关专业高级证书，如高级经济师（人力资源方向）、一级企业人力资源管理师，得2分；5年以上人力资源管理咨询经验，得2分。</w:t>
            </w:r>
          </w:p>
          <w:p w14:paraId="46D844C7">
            <w:pPr>
              <w:numPr>
                <w:ilvl w:val="0"/>
                <w:numId w:val="0"/>
              </w:numPr>
              <w:spacing w:before="181" w:line="240" w:lineRule="auto"/>
              <w:ind w:right="105" w:rightChars="0"/>
              <w:rPr>
                <w:rFonts w:hint="default"/>
                <w:highlight w:val="none"/>
                <w:lang w:val="en-US"/>
              </w:rPr>
            </w:pPr>
            <w:r>
              <w:rPr>
                <w:rFonts w:hint="eastAsia"/>
                <w:highlight w:val="none"/>
                <w:lang w:val="en-US" w:eastAsia="zh-CN"/>
              </w:rPr>
              <w:t>2、</w:t>
            </w:r>
            <w:r>
              <w:rPr>
                <w:rFonts w:hint="default"/>
                <w:highlight w:val="none"/>
                <w:lang w:val="en-US"/>
              </w:rPr>
              <w:t>咨询团队（满分6分）：</w:t>
            </w:r>
          </w:p>
          <w:p w14:paraId="4256E3D9">
            <w:pPr>
              <w:numPr>
                <w:ilvl w:val="0"/>
                <w:numId w:val="0"/>
              </w:numPr>
              <w:spacing w:before="181" w:line="240" w:lineRule="auto"/>
              <w:ind w:right="105" w:rightChars="0"/>
              <w:rPr>
                <w:rFonts w:hint="eastAsia" w:eastAsia="宋体"/>
                <w:highlight w:val="none"/>
                <w:lang w:val="en-US" w:eastAsia="zh-CN"/>
              </w:rPr>
            </w:pPr>
            <w:r>
              <w:rPr>
                <w:rFonts w:hint="default"/>
                <w:highlight w:val="none"/>
                <w:lang w:val="en-US"/>
              </w:rPr>
              <w:t>项目核心团队（除负责人外）不少于3人，其中持有人力资源</w:t>
            </w:r>
            <w:r>
              <w:rPr>
                <w:rFonts w:hint="eastAsia"/>
                <w:highlight w:val="none"/>
                <w:lang w:val="en-US" w:eastAsia="zh-CN"/>
              </w:rPr>
              <w:t>相关</w:t>
            </w:r>
            <w:r>
              <w:rPr>
                <w:rFonts w:hint="default"/>
                <w:highlight w:val="none"/>
                <w:lang w:val="en-US"/>
              </w:rPr>
              <w:t>证书</w:t>
            </w:r>
            <w:r>
              <w:rPr>
                <w:rFonts w:hint="eastAsia"/>
                <w:highlight w:val="none"/>
                <w:lang w:val="en-US" w:eastAsia="zh-CN"/>
              </w:rPr>
              <w:t>证书</w:t>
            </w:r>
            <w:r>
              <w:rPr>
                <w:rFonts w:hint="default"/>
                <w:highlight w:val="none"/>
                <w:lang w:val="en-US"/>
              </w:rPr>
              <w:t>的人员每1人得2分，最高得6分</w:t>
            </w:r>
            <w:r>
              <w:rPr>
                <w:rFonts w:hint="eastAsia"/>
                <w:highlight w:val="none"/>
                <w:lang w:val="en-US" w:eastAsia="zh-CN"/>
              </w:rPr>
              <w:t>。</w:t>
            </w:r>
          </w:p>
          <w:p w14:paraId="488F589A">
            <w:pPr>
              <w:numPr>
                <w:ilvl w:val="0"/>
                <w:numId w:val="0"/>
              </w:numPr>
              <w:spacing w:before="181" w:line="240" w:lineRule="auto"/>
              <w:ind w:left="0" w:leftChars="0" w:right="105" w:rightChars="0" w:firstLine="0" w:firstLineChars="0"/>
              <w:rPr>
                <w:rFonts w:hint="eastAsia" w:eastAsia="宋体"/>
                <w:highlight w:val="none"/>
                <w:lang w:val="en-US" w:eastAsia="zh-CN"/>
              </w:rPr>
            </w:pPr>
            <w:r>
              <w:rPr>
                <w:rFonts w:hint="default"/>
                <w:highlight w:val="none"/>
                <w:lang w:val="en-US"/>
              </w:rPr>
              <w:t>备注：提供项目人员名单（格式自拟）、相关资质证书扫描件/影印件、材料不全不予计分。</w:t>
            </w:r>
          </w:p>
        </w:tc>
      </w:tr>
      <w:tr w14:paraId="0BF5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090" w:type="dxa"/>
            <w:vAlign w:val="center"/>
          </w:tcPr>
          <w:p w14:paraId="3281661C">
            <w:pPr>
              <w:spacing w:before="181" w:line="377" w:lineRule="auto"/>
              <w:ind w:left="113" w:leftChars="0" w:right="105" w:rightChars="0"/>
              <w:jc w:val="left"/>
              <w:rPr>
                <w:rFonts w:hint="eastAsia"/>
                <w:highlight w:val="none"/>
                <w:lang w:val="en-US" w:eastAsia="zh-CN"/>
              </w:rPr>
            </w:pPr>
            <w:r>
              <w:rPr>
                <w:rFonts w:hint="eastAsia"/>
                <w:highlight w:val="none"/>
                <w:lang w:val="en-US" w:eastAsia="zh-CN"/>
              </w:rPr>
              <w:t>价格分</w:t>
            </w:r>
            <w:r>
              <w:rPr>
                <w:rFonts w:hint="eastAsia"/>
                <w:highlight w:val="none"/>
                <w:lang w:eastAsia="en-US"/>
              </w:rPr>
              <w:t>（</w:t>
            </w:r>
            <w:r>
              <w:rPr>
                <w:rFonts w:hint="eastAsia"/>
                <w:highlight w:val="none"/>
                <w:lang w:val="en-US" w:eastAsia="zh-CN"/>
              </w:rPr>
              <w:t>20分</w:t>
            </w:r>
            <w:r>
              <w:rPr>
                <w:rFonts w:hint="eastAsia"/>
                <w:highlight w:val="none"/>
                <w:lang w:eastAsia="en-US"/>
              </w:rPr>
              <w:t>）</w:t>
            </w:r>
          </w:p>
        </w:tc>
        <w:tc>
          <w:tcPr>
            <w:tcW w:w="8202" w:type="dxa"/>
            <w:gridSpan w:val="2"/>
            <w:vAlign w:val="center"/>
          </w:tcPr>
          <w:p w14:paraId="7D982B9E">
            <w:pPr>
              <w:spacing w:before="181" w:line="377" w:lineRule="auto"/>
              <w:ind w:left="113" w:right="105"/>
              <w:rPr>
                <w:rFonts w:hint="eastAsia"/>
                <w:highlight w:val="none"/>
              </w:rPr>
            </w:pPr>
            <w:r>
              <w:rPr>
                <w:rFonts w:hint="eastAsia"/>
                <w:highlight w:val="none"/>
              </w:rPr>
              <w:t>评标委员会将对通过资格审查和符合性审查的投标人的有效投标报价的算术平均值作为评标基准价，各投标人的投标报价得分按以下公式计算：</w:t>
            </w:r>
          </w:p>
          <w:p w14:paraId="00E962FE">
            <w:pPr>
              <w:spacing w:before="181" w:line="377" w:lineRule="auto"/>
              <w:ind w:left="113" w:right="105"/>
              <w:rPr>
                <w:rFonts w:hint="eastAsia"/>
                <w:highlight w:val="none"/>
              </w:rPr>
            </w:pPr>
            <w:r>
              <w:rPr>
                <w:rFonts w:hint="eastAsia"/>
                <w:highlight w:val="none"/>
              </w:rPr>
              <w:t>（1）投标人的投标报价等于评标基准价得</w:t>
            </w:r>
            <w:r>
              <w:rPr>
                <w:rFonts w:hint="eastAsia"/>
                <w:highlight w:val="none"/>
                <w:lang w:val="en-US" w:eastAsia="zh-CN"/>
              </w:rPr>
              <w:t>20</w:t>
            </w:r>
            <w:r>
              <w:rPr>
                <w:rFonts w:hint="eastAsia"/>
                <w:highlight w:val="none"/>
              </w:rPr>
              <w:t xml:space="preserve"> 分；</w:t>
            </w:r>
          </w:p>
          <w:p w14:paraId="787A7DC2">
            <w:pPr>
              <w:spacing w:before="181" w:line="377" w:lineRule="auto"/>
              <w:ind w:left="113" w:right="105"/>
              <w:rPr>
                <w:rFonts w:hint="eastAsia"/>
                <w:highlight w:val="none"/>
              </w:rPr>
            </w:pPr>
            <w:r>
              <w:rPr>
                <w:rFonts w:hint="eastAsia"/>
                <w:highlight w:val="none"/>
              </w:rPr>
              <w:t>（2）投标人的投标报价高于评标基准价：</w:t>
            </w:r>
            <w:r>
              <w:rPr>
                <w:rFonts w:hint="eastAsia"/>
                <w:highlight w:val="none"/>
                <w:lang w:val="en-US" w:eastAsia="zh-CN"/>
              </w:rPr>
              <w:t>20</w:t>
            </w:r>
            <w:r>
              <w:rPr>
                <w:rFonts w:hint="eastAsia"/>
                <w:highlight w:val="none"/>
              </w:rPr>
              <w:t>-（投标人投标报价-评标基准价）/评标基准价*100*0.2；</w:t>
            </w:r>
          </w:p>
          <w:p w14:paraId="3FE08AFB">
            <w:pPr>
              <w:spacing w:before="181" w:line="377" w:lineRule="auto"/>
              <w:ind w:left="113" w:leftChars="0" w:right="105" w:rightChars="0"/>
              <w:rPr>
                <w:rFonts w:hint="eastAsia"/>
                <w:highlight w:val="none"/>
              </w:rPr>
            </w:pPr>
            <w:r>
              <w:rPr>
                <w:rFonts w:hint="eastAsia"/>
                <w:highlight w:val="none"/>
              </w:rPr>
              <w:t>（3）投标人的投标报价低于评标基准价：</w:t>
            </w:r>
            <w:r>
              <w:rPr>
                <w:rFonts w:hint="eastAsia"/>
                <w:highlight w:val="none"/>
                <w:lang w:val="en-US" w:eastAsia="zh-CN"/>
              </w:rPr>
              <w:t>20</w:t>
            </w:r>
            <w:r>
              <w:rPr>
                <w:rFonts w:hint="eastAsia"/>
                <w:highlight w:val="none"/>
              </w:rPr>
              <w:t>+（投标人投标报价-评标基准价）/评标基准价*100*0.1。</w:t>
            </w:r>
          </w:p>
        </w:tc>
      </w:tr>
    </w:tbl>
    <w:p w14:paraId="62E7EC2E">
      <w:pPr>
        <w:pStyle w:val="27"/>
        <w:numPr>
          <w:ilvl w:val="2"/>
          <w:numId w:val="0"/>
        </w:numPr>
        <w:tabs>
          <w:tab w:val="left" w:pos="1330"/>
        </w:tabs>
        <w:spacing w:line="360" w:lineRule="auto"/>
        <w:ind w:left="1329" w:leftChars="0" w:hanging="661" w:firstLineChars="0"/>
        <w:jc w:val="both"/>
        <w:rPr>
          <w:sz w:val="21"/>
          <w:szCs w:val="21"/>
          <w:highlight w:val="none"/>
        </w:rPr>
      </w:pPr>
      <w:r>
        <w:rPr>
          <w:rFonts w:hint="default" w:ascii="宋体" w:hAnsi="宋体" w:eastAsia="宋体" w:cs="宋体"/>
          <w:w w:val="100"/>
          <w:kern w:val="0"/>
          <w:sz w:val="24"/>
          <w:szCs w:val="24"/>
          <w:lang w:val="zh-CN" w:eastAsia="zh-CN" w:bidi="zh-CN"/>
        </w:rPr>
        <w:t>2.1.3</w:t>
      </w:r>
      <w:r>
        <w:rPr>
          <w:sz w:val="21"/>
          <w:szCs w:val="21"/>
          <w:highlight w:val="none"/>
        </w:rPr>
        <w:t>分值汇总</w:t>
      </w:r>
    </w:p>
    <w:p w14:paraId="6F00EF48">
      <w:pPr>
        <w:pStyle w:val="27"/>
        <w:numPr>
          <w:ilvl w:val="0"/>
          <w:numId w:val="18"/>
        </w:numPr>
        <w:tabs>
          <w:tab w:val="left" w:pos="1275"/>
        </w:tabs>
        <w:spacing w:before="160" w:line="360" w:lineRule="auto"/>
        <w:ind w:right="368" w:firstLine="434"/>
        <w:jc w:val="both"/>
        <w:rPr>
          <w:sz w:val="21"/>
          <w:szCs w:val="21"/>
          <w:highlight w:val="none"/>
        </w:rPr>
      </w:pPr>
      <w:r>
        <w:rPr>
          <w:sz w:val="21"/>
          <w:szCs w:val="21"/>
          <w:highlight w:val="none"/>
        </w:rPr>
        <w:t>磋商小组各成员应当独立对每个有效响应的文件进行评价、打分，然后汇总每个供应商每项评分因素的得分（四舍五入保留至小数点后两位数</w:t>
      </w:r>
      <w:r>
        <w:rPr>
          <w:spacing w:val="-120"/>
          <w:sz w:val="21"/>
          <w:szCs w:val="21"/>
          <w:highlight w:val="none"/>
        </w:rPr>
        <w:t>）</w:t>
      </w:r>
      <w:r>
        <w:rPr>
          <w:spacing w:val="-9"/>
          <w:sz w:val="21"/>
          <w:szCs w:val="21"/>
          <w:highlight w:val="none"/>
        </w:rPr>
        <w:t>，再</w:t>
      </w:r>
      <w:r>
        <w:rPr>
          <w:sz w:val="21"/>
          <w:szCs w:val="21"/>
          <w:highlight w:val="none"/>
        </w:rPr>
        <w:t>将供应商每项评分因素的得分进行汇总，得到该供应商的技术资信分之和。</w:t>
      </w:r>
    </w:p>
    <w:p w14:paraId="239B0C38">
      <w:pPr>
        <w:pStyle w:val="27"/>
        <w:numPr>
          <w:ilvl w:val="0"/>
          <w:numId w:val="18"/>
        </w:numPr>
        <w:tabs>
          <w:tab w:val="left" w:pos="1275"/>
        </w:tabs>
        <w:spacing w:line="360" w:lineRule="auto"/>
        <w:ind w:right="369" w:firstLine="434"/>
        <w:rPr>
          <w:sz w:val="21"/>
          <w:szCs w:val="21"/>
          <w:highlight w:val="none"/>
        </w:rPr>
      </w:pPr>
      <w:r>
        <w:rPr>
          <w:spacing w:val="-1"/>
          <w:sz w:val="21"/>
          <w:szCs w:val="21"/>
          <w:highlight w:val="none"/>
        </w:rPr>
        <w:t xml:space="preserve">将每个供应商的技术资信分之和加上根据上述标准计算出的价格分， </w:t>
      </w:r>
      <w:r>
        <w:rPr>
          <w:sz w:val="21"/>
          <w:szCs w:val="21"/>
          <w:highlight w:val="none"/>
        </w:rPr>
        <w:t>即为该供应商的综合总得分。</w:t>
      </w:r>
    </w:p>
    <w:p w14:paraId="715BB71A">
      <w:pPr>
        <w:rPr>
          <w:highlight w:val="none"/>
        </w:rPr>
      </w:pPr>
      <w:r>
        <w:rPr>
          <w:sz w:val="21"/>
          <w:szCs w:val="21"/>
          <w:highlight w:val="none"/>
        </w:rPr>
        <w:br w:type="page"/>
      </w:r>
    </w:p>
    <w:p w14:paraId="36FB21F3">
      <w:pPr>
        <w:widowControl/>
        <w:spacing w:line="360" w:lineRule="auto"/>
        <w:jc w:val="left"/>
        <w:rPr>
          <w:rFonts w:ascii="宋体" w:hAnsi="宋体"/>
          <w:highlight w:val="none"/>
        </w:rPr>
      </w:pPr>
    </w:p>
    <w:p w14:paraId="1E03D3A6">
      <w:pPr>
        <w:pStyle w:val="3"/>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1" w:name="_Toc30352"/>
      <w:r>
        <w:rPr>
          <w:rFonts w:hint="eastAsia" w:ascii="宋体" w:hAnsi="宋体"/>
          <w:sz w:val="32"/>
          <w:szCs w:val="32"/>
          <w:highlight w:val="none"/>
        </w:rPr>
        <w:t>采购合同</w:t>
      </w:r>
      <w:bookmarkEnd w:id="61"/>
    </w:p>
    <w:p w14:paraId="7CF86EF4">
      <w:pPr>
        <w:pStyle w:val="2"/>
        <w:rPr>
          <w:b/>
          <w:sz w:val="32"/>
          <w:highlight w:val="none"/>
        </w:rPr>
      </w:pPr>
    </w:p>
    <w:p w14:paraId="7A9220D4">
      <w:pPr>
        <w:pStyle w:val="2"/>
        <w:spacing w:before="10"/>
        <w:rPr>
          <w:b/>
          <w:sz w:val="32"/>
          <w:highlight w:val="none"/>
        </w:rPr>
      </w:pPr>
    </w:p>
    <w:p w14:paraId="29CDF586">
      <w:pPr>
        <w:pStyle w:val="5"/>
        <w:spacing w:before="0"/>
        <w:ind w:left="1367" w:right="1503"/>
        <w:jc w:val="center"/>
        <w:rPr>
          <w:sz w:val="21"/>
          <w:szCs w:val="21"/>
          <w:highlight w:val="none"/>
        </w:rPr>
      </w:pPr>
      <w:r>
        <w:rPr>
          <w:spacing w:val="-1"/>
          <w:sz w:val="21"/>
          <w:szCs w:val="21"/>
          <w:highlight w:val="none"/>
        </w:rPr>
        <w:t>第一部分 合同书</w:t>
      </w:r>
    </w:p>
    <w:p w14:paraId="4C12F8DD">
      <w:pPr>
        <w:pStyle w:val="2"/>
        <w:rPr>
          <w:b/>
          <w:sz w:val="21"/>
          <w:szCs w:val="21"/>
          <w:highlight w:val="none"/>
        </w:rPr>
      </w:pPr>
    </w:p>
    <w:p w14:paraId="5B84357C">
      <w:pPr>
        <w:pStyle w:val="2"/>
        <w:rPr>
          <w:b/>
          <w:sz w:val="21"/>
          <w:szCs w:val="21"/>
          <w:highlight w:val="none"/>
        </w:rPr>
      </w:pPr>
    </w:p>
    <w:p w14:paraId="19D9EB06">
      <w:pPr>
        <w:pStyle w:val="2"/>
        <w:rPr>
          <w:b/>
          <w:sz w:val="21"/>
          <w:szCs w:val="21"/>
          <w:highlight w:val="none"/>
        </w:rPr>
      </w:pPr>
    </w:p>
    <w:p w14:paraId="27970FF0">
      <w:pPr>
        <w:pStyle w:val="2"/>
        <w:rPr>
          <w:b/>
          <w:sz w:val="21"/>
          <w:szCs w:val="21"/>
          <w:highlight w:val="none"/>
        </w:rPr>
      </w:pPr>
    </w:p>
    <w:p w14:paraId="7FBDA254">
      <w:pPr>
        <w:pStyle w:val="2"/>
        <w:rPr>
          <w:b/>
          <w:sz w:val="21"/>
          <w:szCs w:val="21"/>
          <w:highlight w:val="none"/>
        </w:rPr>
      </w:pPr>
    </w:p>
    <w:p w14:paraId="0FC8C7AD">
      <w:pPr>
        <w:pStyle w:val="2"/>
        <w:rPr>
          <w:b/>
          <w:sz w:val="21"/>
          <w:szCs w:val="21"/>
          <w:highlight w:val="none"/>
        </w:rPr>
      </w:pPr>
    </w:p>
    <w:p w14:paraId="22F63847">
      <w:pPr>
        <w:pStyle w:val="2"/>
        <w:spacing w:before="5"/>
        <w:rPr>
          <w:b/>
          <w:sz w:val="21"/>
          <w:szCs w:val="21"/>
          <w:highlight w:val="none"/>
        </w:rPr>
      </w:pPr>
    </w:p>
    <w:p w14:paraId="725EEACB">
      <w:pPr>
        <w:spacing w:before="1"/>
        <w:ind w:left="330" w:right="135"/>
        <w:jc w:val="center"/>
        <w:rPr>
          <w:rFonts w:ascii="宋体" w:hAnsi="宋体"/>
          <w:highlight w:val="none"/>
        </w:rPr>
      </w:pPr>
      <w:r>
        <w:rPr>
          <w:rFonts w:ascii="宋体" w:hAnsi="宋体"/>
          <w:highlight w:val="none"/>
        </w:rPr>
        <w:t>项目名称：</w:t>
      </w:r>
      <w:r>
        <w:rPr>
          <w:rFonts w:ascii="宋体" w:hAnsi="宋体"/>
          <w:highlight w:val="none"/>
          <w:u w:val="single"/>
        </w:rPr>
        <w:t>某项目</w:t>
      </w:r>
      <w:r>
        <w:rPr>
          <w:rFonts w:ascii="宋体" w:hAnsi="宋体"/>
          <w:highlight w:val="none"/>
        </w:rPr>
        <w:t>（分包项目须填写完整的分包号及分包名称）</w:t>
      </w:r>
    </w:p>
    <w:p w14:paraId="21D82D6E">
      <w:pPr>
        <w:pStyle w:val="2"/>
        <w:spacing w:before="8"/>
        <w:rPr>
          <w:sz w:val="21"/>
          <w:szCs w:val="21"/>
          <w:highlight w:val="none"/>
        </w:rPr>
      </w:pPr>
    </w:p>
    <w:p w14:paraId="3CC5558F">
      <w:pPr>
        <w:pStyle w:val="2"/>
        <w:spacing w:before="67"/>
        <w:ind w:left="1180" w:firstLine="420" w:firstLineChars="200"/>
        <w:rPr>
          <w:sz w:val="21"/>
          <w:szCs w:val="21"/>
          <w:highlight w:val="none"/>
        </w:rPr>
      </w:pPr>
      <w:r>
        <w:rPr>
          <w:sz w:val="21"/>
          <w:szCs w:val="21"/>
          <w:highlight w:val="none"/>
        </w:rPr>
        <w:t>项目编号：</w:t>
      </w:r>
      <w:r>
        <w:rPr>
          <w:sz w:val="21"/>
          <w:szCs w:val="21"/>
          <w:highlight w:val="none"/>
          <w:u w:val="single"/>
        </w:rPr>
        <w:t>某编号</w:t>
      </w:r>
    </w:p>
    <w:p w14:paraId="598DE269">
      <w:pPr>
        <w:pStyle w:val="2"/>
        <w:spacing w:before="3"/>
        <w:rPr>
          <w:sz w:val="21"/>
          <w:szCs w:val="21"/>
          <w:highlight w:val="none"/>
        </w:rPr>
      </w:pPr>
    </w:p>
    <w:p w14:paraId="5E0F0B12">
      <w:pPr>
        <w:pStyle w:val="2"/>
        <w:tabs>
          <w:tab w:val="left" w:pos="6636"/>
        </w:tabs>
        <w:spacing w:before="74"/>
        <w:ind w:left="1180" w:firstLine="420" w:firstLineChars="200"/>
        <w:rPr>
          <w:sz w:val="21"/>
          <w:szCs w:val="21"/>
          <w:highlight w:val="none"/>
        </w:rPr>
      </w:pPr>
      <w:r>
        <w:rPr>
          <w:sz w:val="21"/>
          <w:szCs w:val="21"/>
          <w:highlight w:val="none"/>
        </w:rPr>
        <w:t>甲方（采购人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392F90E6">
      <w:pPr>
        <w:pStyle w:val="2"/>
        <w:rPr>
          <w:sz w:val="21"/>
          <w:szCs w:val="21"/>
          <w:highlight w:val="none"/>
        </w:rPr>
      </w:pPr>
    </w:p>
    <w:p w14:paraId="1D02FA8E">
      <w:pPr>
        <w:pStyle w:val="2"/>
        <w:tabs>
          <w:tab w:val="left" w:pos="6636"/>
        </w:tabs>
        <w:spacing w:before="207"/>
        <w:ind w:left="1180" w:firstLine="420" w:firstLineChars="200"/>
        <w:rPr>
          <w:sz w:val="21"/>
          <w:szCs w:val="21"/>
          <w:highlight w:val="none"/>
        </w:rPr>
      </w:pPr>
      <w:r>
        <w:rPr>
          <w:sz w:val="21"/>
          <w:szCs w:val="21"/>
          <w:highlight w:val="none"/>
        </w:rPr>
        <w:t>乙方（中标人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1C580788">
      <w:pPr>
        <w:pStyle w:val="2"/>
        <w:rPr>
          <w:sz w:val="21"/>
          <w:szCs w:val="21"/>
          <w:highlight w:val="none"/>
        </w:rPr>
      </w:pPr>
    </w:p>
    <w:p w14:paraId="2DDDBB7A">
      <w:pPr>
        <w:pStyle w:val="2"/>
        <w:tabs>
          <w:tab w:val="left" w:pos="6636"/>
        </w:tabs>
        <w:spacing w:before="207"/>
        <w:ind w:left="1180" w:firstLine="420" w:firstLineChars="200"/>
        <w:rPr>
          <w:sz w:val="21"/>
          <w:szCs w:val="21"/>
          <w:highlight w:val="none"/>
        </w:rPr>
      </w:pPr>
      <w:r>
        <w:rPr>
          <w:sz w:val="21"/>
          <w:szCs w:val="21"/>
          <w:highlight w:val="none"/>
        </w:rPr>
        <w:t>签订地：</w:t>
      </w:r>
      <w:r>
        <w:rPr>
          <w:sz w:val="21"/>
          <w:szCs w:val="21"/>
          <w:highlight w:val="none"/>
          <w:u w:val="single"/>
        </w:rPr>
        <w:t xml:space="preserve"> </w:t>
      </w:r>
      <w:r>
        <w:rPr>
          <w:sz w:val="21"/>
          <w:szCs w:val="21"/>
          <w:highlight w:val="none"/>
          <w:u w:val="single"/>
        </w:rPr>
        <w:tab/>
      </w:r>
    </w:p>
    <w:p w14:paraId="75F3DC41">
      <w:pPr>
        <w:pStyle w:val="2"/>
        <w:rPr>
          <w:sz w:val="21"/>
          <w:szCs w:val="21"/>
          <w:highlight w:val="none"/>
        </w:rPr>
      </w:pPr>
    </w:p>
    <w:p w14:paraId="01699D1C">
      <w:pPr>
        <w:pStyle w:val="2"/>
        <w:tabs>
          <w:tab w:val="left" w:pos="4180"/>
          <w:tab w:val="left" w:pos="5261"/>
          <w:tab w:val="left" w:pos="6341"/>
        </w:tabs>
        <w:spacing w:before="206"/>
        <w:ind w:left="1180" w:firstLine="420" w:firstLineChars="200"/>
        <w:rPr>
          <w:sz w:val="21"/>
          <w:szCs w:val="21"/>
          <w:highlight w:val="none"/>
        </w:rPr>
      </w:pPr>
      <w:r>
        <w:rPr>
          <w:sz w:val="21"/>
          <w:szCs w:val="21"/>
          <w:highlight w:val="none"/>
        </w:rPr>
        <w:t>签订日期：</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7E35D4A0">
      <w:pPr>
        <w:rPr>
          <w:rFonts w:ascii="宋体" w:hAnsi="宋体"/>
          <w:highlight w:val="none"/>
        </w:rPr>
        <w:sectPr>
          <w:footerReference r:id="rId3" w:type="default"/>
          <w:pgSz w:w="11910" w:h="16840"/>
          <w:pgMar w:top="1380" w:right="1440" w:bottom="1500" w:left="1580" w:header="877" w:footer="1304" w:gutter="0"/>
          <w:pgNumType w:fmt="decimal" w:start="1"/>
          <w:cols w:space="720" w:num="1"/>
        </w:sectPr>
      </w:pPr>
    </w:p>
    <w:p w14:paraId="0A19B14C">
      <w:pPr>
        <w:pStyle w:val="2"/>
        <w:spacing w:before="10" w:line="360" w:lineRule="auto"/>
        <w:ind w:right="359" w:firstLine="434"/>
        <w:jc w:val="both"/>
        <w:rPr>
          <w:sz w:val="21"/>
          <w:szCs w:val="21"/>
          <w:highlight w:val="none"/>
        </w:rPr>
      </w:pPr>
      <w:r>
        <w:rPr>
          <w:sz w:val="21"/>
          <w:szCs w:val="21"/>
          <w:highlight w:val="none"/>
        </w:rPr>
        <w:t>根据</w:t>
      </w:r>
      <w:r>
        <w:rPr>
          <w:rFonts w:hint="eastAsia"/>
          <w:sz w:val="21"/>
          <w:szCs w:val="21"/>
          <w:highlight w:val="none"/>
        </w:rPr>
        <w:t>《中华人民共和国民法典》</w:t>
      </w:r>
      <w:r>
        <w:rPr>
          <w:sz w:val="21"/>
          <w:szCs w:val="21"/>
          <w:highlight w:val="none"/>
        </w:rPr>
        <w:t>、《中华人民共和国政府采购法》等相关法律法规之规定，按照平等、自愿、公平和诚实信用的原则，经甲方和乙方协商一致， 约定以下合同条款，以兹共同遵守、全面履行。</w:t>
      </w:r>
    </w:p>
    <w:p w14:paraId="4CB45E87">
      <w:pPr>
        <w:pStyle w:val="5"/>
        <w:numPr>
          <w:ilvl w:val="1"/>
          <w:numId w:val="19"/>
        </w:numPr>
        <w:tabs>
          <w:tab w:val="left" w:pos="1142"/>
        </w:tabs>
        <w:spacing w:before="2" w:line="360" w:lineRule="auto"/>
        <w:rPr>
          <w:sz w:val="21"/>
          <w:szCs w:val="21"/>
          <w:highlight w:val="none"/>
        </w:rPr>
      </w:pPr>
      <w:r>
        <w:rPr>
          <w:sz w:val="21"/>
          <w:szCs w:val="21"/>
          <w:highlight w:val="none"/>
        </w:rPr>
        <w:t>合同组成部分</w:t>
      </w:r>
    </w:p>
    <w:p w14:paraId="19C6A467">
      <w:pPr>
        <w:pStyle w:val="2"/>
        <w:spacing w:before="161" w:line="360" w:lineRule="auto"/>
        <w:ind w:right="237" w:firstLine="434"/>
        <w:rPr>
          <w:sz w:val="21"/>
          <w:szCs w:val="21"/>
          <w:highlight w:val="none"/>
        </w:rPr>
      </w:pPr>
      <w:r>
        <w:rPr>
          <w:sz w:val="21"/>
          <w:szCs w:val="21"/>
          <w:highlight w:val="none"/>
        </w:rPr>
        <w:t>下列文件为本合同的组成部分，并构成一个整体，需综合解释、相互补充。</w:t>
      </w:r>
      <w:r>
        <w:rPr>
          <w:spacing w:val="-6"/>
          <w:sz w:val="21"/>
          <w:szCs w:val="21"/>
          <w:highlight w:val="none"/>
        </w:rPr>
        <w:t>如果下列文件内容出现不一致的情形，那么在保证按照采购文件确定的事项前提下，组成本合同的多个文件的优先适用顺序如下：</w:t>
      </w:r>
    </w:p>
    <w:p w14:paraId="51752317">
      <w:pPr>
        <w:pStyle w:val="26"/>
        <w:numPr>
          <w:ilvl w:val="2"/>
          <w:numId w:val="19"/>
        </w:numPr>
        <w:tabs>
          <w:tab w:val="left" w:pos="1315"/>
        </w:tabs>
        <w:autoSpaceDE w:val="0"/>
        <w:autoSpaceDN w:val="0"/>
        <w:spacing w:before="2" w:line="360" w:lineRule="auto"/>
        <w:ind w:hanging="661" w:firstLineChars="0"/>
        <w:rPr>
          <w:rFonts w:ascii="宋体" w:hAnsi="宋体"/>
          <w:highlight w:val="none"/>
        </w:rPr>
      </w:pPr>
      <w:r>
        <w:rPr>
          <w:rFonts w:ascii="宋体" w:hAnsi="宋体"/>
          <w:highlight w:val="none"/>
        </w:rPr>
        <w:t>本合同及其补充合同、变更协议；</w:t>
      </w:r>
    </w:p>
    <w:p w14:paraId="70878939">
      <w:pPr>
        <w:pStyle w:val="26"/>
        <w:numPr>
          <w:ilvl w:val="2"/>
          <w:numId w:val="19"/>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成交</w:t>
      </w:r>
      <w:r>
        <w:rPr>
          <w:rFonts w:ascii="宋体" w:hAnsi="宋体"/>
          <w:highlight w:val="none"/>
        </w:rPr>
        <w:t>通知书；</w:t>
      </w:r>
    </w:p>
    <w:p w14:paraId="09B6BB08">
      <w:pPr>
        <w:pStyle w:val="26"/>
        <w:numPr>
          <w:ilvl w:val="2"/>
          <w:numId w:val="19"/>
        </w:numPr>
        <w:tabs>
          <w:tab w:val="left" w:pos="1315"/>
        </w:tabs>
        <w:autoSpaceDE w:val="0"/>
        <w:autoSpaceDN w:val="0"/>
        <w:spacing w:before="161" w:line="360" w:lineRule="auto"/>
        <w:ind w:hanging="661" w:firstLineChars="0"/>
        <w:rPr>
          <w:rFonts w:ascii="宋体" w:hAnsi="宋体"/>
          <w:highlight w:val="none"/>
        </w:rPr>
      </w:pPr>
      <w:r>
        <w:rPr>
          <w:rFonts w:hint="eastAsia" w:ascii="宋体" w:hAnsi="宋体"/>
          <w:highlight w:val="none"/>
        </w:rPr>
        <w:t>响应</w:t>
      </w:r>
      <w:r>
        <w:rPr>
          <w:rFonts w:ascii="宋体" w:hAnsi="宋体"/>
          <w:highlight w:val="none"/>
        </w:rPr>
        <w:t>文件（含澄清或者说明文件）；</w:t>
      </w:r>
    </w:p>
    <w:p w14:paraId="49100D5A">
      <w:pPr>
        <w:pStyle w:val="26"/>
        <w:numPr>
          <w:ilvl w:val="2"/>
          <w:numId w:val="19"/>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磋商</w:t>
      </w:r>
      <w:r>
        <w:rPr>
          <w:rFonts w:ascii="宋体" w:hAnsi="宋体"/>
          <w:highlight w:val="none"/>
        </w:rPr>
        <w:t>文件（含澄清或者修改文件）；</w:t>
      </w:r>
    </w:p>
    <w:p w14:paraId="4C0B5994">
      <w:pPr>
        <w:pStyle w:val="26"/>
        <w:numPr>
          <w:ilvl w:val="2"/>
          <w:numId w:val="19"/>
        </w:numPr>
        <w:tabs>
          <w:tab w:val="left" w:pos="1315"/>
        </w:tabs>
        <w:autoSpaceDE w:val="0"/>
        <w:autoSpaceDN w:val="0"/>
        <w:spacing w:before="161" w:line="360" w:lineRule="auto"/>
        <w:ind w:hanging="661" w:firstLineChars="0"/>
        <w:rPr>
          <w:rFonts w:ascii="宋体" w:hAnsi="宋体"/>
          <w:highlight w:val="none"/>
        </w:rPr>
      </w:pPr>
      <w:r>
        <w:rPr>
          <w:rFonts w:ascii="宋体" w:hAnsi="宋体"/>
          <w:highlight w:val="none"/>
        </w:rPr>
        <w:t>其他相关采购文件。</w:t>
      </w:r>
    </w:p>
    <w:p w14:paraId="014F14B0">
      <w:pPr>
        <w:pStyle w:val="5"/>
        <w:numPr>
          <w:ilvl w:val="1"/>
          <w:numId w:val="19"/>
        </w:numPr>
        <w:tabs>
          <w:tab w:val="left" w:pos="1142"/>
        </w:tabs>
        <w:spacing w:before="161" w:line="360" w:lineRule="auto"/>
        <w:rPr>
          <w:sz w:val="21"/>
          <w:szCs w:val="21"/>
          <w:highlight w:val="none"/>
        </w:rPr>
      </w:pPr>
      <w:r>
        <w:rPr>
          <w:sz w:val="21"/>
          <w:szCs w:val="21"/>
          <w:highlight w:val="none"/>
        </w:rPr>
        <w:t>服务</w:t>
      </w:r>
    </w:p>
    <w:p w14:paraId="6F554653">
      <w:pPr>
        <w:pStyle w:val="26"/>
        <w:numPr>
          <w:ilvl w:val="2"/>
          <w:numId w:val="19"/>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服务名称：</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0572E20">
      <w:pPr>
        <w:pStyle w:val="26"/>
        <w:numPr>
          <w:ilvl w:val="2"/>
          <w:numId w:val="19"/>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服务内容：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0D4C9541">
      <w:pPr>
        <w:pStyle w:val="26"/>
        <w:numPr>
          <w:ilvl w:val="2"/>
          <w:numId w:val="19"/>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服务质量：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4D8B396B">
      <w:pPr>
        <w:pStyle w:val="5"/>
        <w:numPr>
          <w:ilvl w:val="1"/>
          <w:numId w:val="19"/>
        </w:numPr>
        <w:tabs>
          <w:tab w:val="left" w:pos="1142"/>
        </w:tabs>
        <w:spacing w:before="161" w:line="360" w:lineRule="auto"/>
        <w:rPr>
          <w:sz w:val="21"/>
          <w:szCs w:val="21"/>
          <w:highlight w:val="none"/>
        </w:rPr>
      </w:pPr>
      <w:r>
        <w:rPr>
          <w:sz w:val="21"/>
          <w:szCs w:val="21"/>
          <w:highlight w:val="none"/>
        </w:rPr>
        <w:t>价款</w:t>
      </w:r>
    </w:p>
    <w:p w14:paraId="5E8C7240">
      <w:pPr>
        <w:pStyle w:val="2"/>
        <w:tabs>
          <w:tab w:val="left" w:pos="3895"/>
          <w:tab w:val="left" w:pos="7856"/>
        </w:tabs>
        <w:spacing w:before="160" w:line="360" w:lineRule="auto"/>
        <w:ind w:left="654" w:right="428"/>
        <w:rPr>
          <w:sz w:val="21"/>
          <w:szCs w:val="21"/>
          <w:highlight w:val="none"/>
        </w:rPr>
      </w:pPr>
      <w:r>
        <w:rPr>
          <w:sz w:val="21"/>
          <w:szCs w:val="21"/>
          <w:highlight w:val="none"/>
        </w:rPr>
        <w:t>本合同总价为：￥</w:t>
      </w:r>
      <w:r>
        <w:rPr>
          <w:sz w:val="21"/>
          <w:szCs w:val="21"/>
          <w:highlight w:val="none"/>
          <w:u w:val="single"/>
        </w:rPr>
        <w:t xml:space="preserve"> </w:t>
      </w:r>
      <w:r>
        <w:rPr>
          <w:sz w:val="21"/>
          <w:szCs w:val="21"/>
          <w:highlight w:val="none"/>
          <w:u w:val="single"/>
        </w:rPr>
        <w:tab/>
      </w:r>
      <w:r>
        <w:rPr>
          <w:sz w:val="21"/>
          <w:szCs w:val="21"/>
          <w:highlight w:val="none"/>
        </w:rPr>
        <w:t>元（大写：人民币</w:t>
      </w:r>
      <w:r>
        <w:rPr>
          <w:sz w:val="21"/>
          <w:szCs w:val="21"/>
          <w:highlight w:val="none"/>
          <w:u w:val="single"/>
        </w:rPr>
        <w:t xml:space="preserve"> </w:t>
      </w:r>
      <w:r>
        <w:rPr>
          <w:sz w:val="21"/>
          <w:szCs w:val="21"/>
          <w:highlight w:val="none"/>
          <w:u w:val="single"/>
        </w:rPr>
        <w:tab/>
      </w:r>
      <w:r>
        <w:rPr>
          <w:sz w:val="21"/>
          <w:szCs w:val="21"/>
          <w:highlight w:val="none"/>
        </w:rPr>
        <w:t>元</w:t>
      </w:r>
      <w:r>
        <w:rPr>
          <w:spacing w:val="-120"/>
          <w:sz w:val="21"/>
          <w:szCs w:val="21"/>
          <w:highlight w:val="none"/>
        </w:rPr>
        <w:t>）</w:t>
      </w:r>
      <w:r>
        <w:rPr>
          <w:spacing w:val="-18"/>
          <w:sz w:val="21"/>
          <w:szCs w:val="21"/>
          <w:highlight w:val="none"/>
        </w:rPr>
        <w:t>。</w:t>
      </w:r>
      <w:r>
        <w:rPr>
          <w:sz w:val="21"/>
          <w:szCs w:val="21"/>
          <w:highlight w:val="none"/>
        </w:rPr>
        <w:t>分项价格：</w:t>
      </w:r>
    </w:p>
    <w:tbl>
      <w:tblPr>
        <w:tblStyle w:val="17"/>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53D75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958" w:type="dxa"/>
          </w:tcPr>
          <w:p w14:paraId="71C3432C">
            <w:pPr>
              <w:pStyle w:val="25"/>
              <w:spacing w:before="28"/>
              <w:ind w:left="217" w:right="211"/>
              <w:jc w:val="center"/>
              <w:rPr>
                <w:sz w:val="24"/>
                <w:highlight w:val="none"/>
                <w:lang w:eastAsia="en-US"/>
              </w:rPr>
            </w:pPr>
            <w:r>
              <w:rPr>
                <w:sz w:val="24"/>
                <w:highlight w:val="none"/>
                <w:lang w:eastAsia="en-US"/>
              </w:rPr>
              <w:t>序号</w:t>
            </w:r>
          </w:p>
        </w:tc>
        <w:tc>
          <w:tcPr>
            <w:tcW w:w="4317" w:type="dxa"/>
          </w:tcPr>
          <w:p w14:paraId="1123FF45">
            <w:pPr>
              <w:pStyle w:val="25"/>
              <w:spacing w:before="28"/>
              <w:ind w:left="1755" w:right="1551"/>
              <w:jc w:val="center"/>
              <w:rPr>
                <w:sz w:val="24"/>
                <w:highlight w:val="none"/>
                <w:lang w:eastAsia="en-US"/>
              </w:rPr>
            </w:pPr>
            <w:r>
              <w:rPr>
                <w:sz w:val="24"/>
                <w:highlight w:val="none"/>
                <w:lang w:eastAsia="en-US"/>
              </w:rPr>
              <w:t>分项名称</w:t>
            </w:r>
          </w:p>
        </w:tc>
        <w:tc>
          <w:tcPr>
            <w:tcW w:w="3239" w:type="dxa"/>
          </w:tcPr>
          <w:p w14:paraId="5E019B39">
            <w:pPr>
              <w:pStyle w:val="25"/>
              <w:spacing w:before="28"/>
              <w:ind w:left="1116" w:right="1113"/>
              <w:jc w:val="center"/>
              <w:rPr>
                <w:sz w:val="24"/>
                <w:highlight w:val="none"/>
                <w:lang w:eastAsia="en-US"/>
              </w:rPr>
            </w:pPr>
            <w:r>
              <w:rPr>
                <w:sz w:val="24"/>
                <w:highlight w:val="none"/>
                <w:lang w:eastAsia="en-US"/>
              </w:rPr>
              <w:t>分项价格</w:t>
            </w:r>
          </w:p>
        </w:tc>
      </w:tr>
      <w:tr w14:paraId="2B33E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23FDA4A9">
            <w:pPr>
              <w:pStyle w:val="25"/>
              <w:spacing w:line="307" w:lineRule="exact"/>
              <w:ind w:left="6"/>
              <w:jc w:val="center"/>
              <w:rPr>
                <w:sz w:val="24"/>
                <w:highlight w:val="none"/>
                <w:lang w:eastAsia="en-US"/>
              </w:rPr>
            </w:pPr>
            <w:r>
              <w:rPr>
                <w:sz w:val="24"/>
                <w:highlight w:val="none"/>
                <w:lang w:eastAsia="en-US"/>
              </w:rPr>
              <w:t>1</w:t>
            </w:r>
          </w:p>
        </w:tc>
        <w:tc>
          <w:tcPr>
            <w:tcW w:w="4317" w:type="dxa"/>
          </w:tcPr>
          <w:p w14:paraId="2E06D9DF">
            <w:pPr>
              <w:pStyle w:val="25"/>
              <w:rPr>
                <w:rFonts w:ascii="Times New Roman"/>
                <w:highlight w:val="none"/>
                <w:lang w:eastAsia="en-US"/>
              </w:rPr>
            </w:pPr>
          </w:p>
        </w:tc>
        <w:tc>
          <w:tcPr>
            <w:tcW w:w="3239" w:type="dxa"/>
          </w:tcPr>
          <w:p w14:paraId="25161D67">
            <w:pPr>
              <w:pStyle w:val="25"/>
              <w:rPr>
                <w:rFonts w:ascii="Times New Roman"/>
                <w:highlight w:val="none"/>
                <w:lang w:eastAsia="en-US"/>
              </w:rPr>
            </w:pPr>
          </w:p>
        </w:tc>
      </w:tr>
      <w:tr w14:paraId="5048C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3048E3F">
            <w:pPr>
              <w:pStyle w:val="25"/>
              <w:ind w:left="6"/>
              <w:jc w:val="center"/>
              <w:rPr>
                <w:sz w:val="24"/>
                <w:highlight w:val="none"/>
                <w:lang w:eastAsia="en-US"/>
              </w:rPr>
            </w:pPr>
            <w:r>
              <w:rPr>
                <w:sz w:val="24"/>
                <w:highlight w:val="none"/>
                <w:lang w:eastAsia="en-US"/>
              </w:rPr>
              <w:t>2</w:t>
            </w:r>
          </w:p>
        </w:tc>
        <w:tc>
          <w:tcPr>
            <w:tcW w:w="4317" w:type="dxa"/>
          </w:tcPr>
          <w:p w14:paraId="12A6A6C3">
            <w:pPr>
              <w:pStyle w:val="25"/>
              <w:rPr>
                <w:rFonts w:ascii="Times New Roman"/>
                <w:highlight w:val="none"/>
                <w:lang w:eastAsia="en-US"/>
              </w:rPr>
            </w:pPr>
          </w:p>
        </w:tc>
        <w:tc>
          <w:tcPr>
            <w:tcW w:w="3239" w:type="dxa"/>
          </w:tcPr>
          <w:p w14:paraId="34D28BE0">
            <w:pPr>
              <w:pStyle w:val="25"/>
              <w:rPr>
                <w:rFonts w:ascii="Times New Roman"/>
                <w:highlight w:val="none"/>
                <w:lang w:eastAsia="en-US"/>
              </w:rPr>
            </w:pPr>
          </w:p>
        </w:tc>
      </w:tr>
      <w:tr w14:paraId="63F20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3877825">
            <w:pPr>
              <w:pStyle w:val="25"/>
              <w:spacing w:line="307" w:lineRule="exact"/>
              <w:ind w:left="6"/>
              <w:jc w:val="center"/>
              <w:rPr>
                <w:sz w:val="24"/>
                <w:highlight w:val="none"/>
                <w:lang w:eastAsia="en-US"/>
              </w:rPr>
            </w:pPr>
            <w:r>
              <w:rPr>
                <w:sz w:val="24"/>
                <w:highlight w:val="none"/>
                <w:lang w:eastAsia="en-US"/>
              </w:rPr>
              <w:t>3</w:t>
            </w:r>
          </w:p>
        </w:tc>
        <w:tc>
          <w:tcPr>
            <w:tcW w:w="4317" w:type="dxa"/>
          </w:tcPr>
          <w:p w14:paraId="2120D545">
            <w:pPr>
              <w:pStyle w:val="25"/>
              <w:rPr>
                <w:rFonts w:ascii="Times New Roman"/>
                <w:highlight w:val="none"/>
                <w:lang w:eastAsia="en-US"/>
              </w:rPr>
            </w:pPr>
          </w:p>
        </w:tc>
        <w:tc>
          <w:tcPr>
            <w:tcW w:w="3239" w:type="dxa"/>
          </w:tcPr>
          <w:p w14:paraId="1067B71F">
            <w:pPr>
              <w:pStyle w:val="25"/>
              <w:rPr>
                <w:rFonts w:ascii="Times New Roman"/>
                <w:highlight w:val="none"/>
                <w:lang w:eastAsia="en-US"/>
              </w:rPr>
            </w:pPr>
          </w:p>
        </w:tc>
      </w:tr>
      <w:tr w14:paraId="040B8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6A9E04A4">
            <w:pPr>
              <w:pStyle w:val="25"/>
              <w:spacing w:line="307" w:lineRule="exact"/>
              <w:ind w:left="217" w:right="211"/>
              <w:jc w:val="center"/>
              <w:rPr>
                <w:sz w:val="24"/>
                <w:highlight w:val="none"/>
                <w:lang w:eastAsia="en-US"/>
              </w:rPr>
            </w:pPr>
            <w:r>
              <w:rPr>
                <w:w w:val="200"/>
                <w:sz w:val="24"/>
                <w:highlight w:val="none"/>
                <w:lang w:eastAsia="en-US"/>
              </w:rPr>
              <w:t>„„</w:t>
            </w:r>
          </w:p>
        </w:tc>
        <w:tc>
          <w:tcPr>
            <w:tcW w:w="4317" w:type="dxa"/>
          </w:tcPr>
          <w:p w14:paraId="0E68EE2E">
            <w:pPr>
              <w:pStyle w:val="25"/>
              <w:rPr>
                <w:rFonts w:ascii="Times New Roman"/>
                <w:highlight w:val="none"/>
                <w:lang w:eastAsia="en-US"/>
              </w:rPr>
            </w:pPr>
          </w:p>
        </w:tc>
        <w:tc>
          <w:tcPr>
            <w:tcW w:w="3239" w:type="dxa"/>
          </w:tcPr>
          <w:p w14:paraId="130501CE">
            <w:pPr>
              <w:pStyle w:val="25"/>
              <w:rPr>
                <w:rFonts w:ascii="Times New Roman"/>
                <w:highlight w:val="none"/>
                <w:lang w:eastAsia="en-US"/>
              </w:rPr>
            </w:pPr>
          </w:p>
        </w:tc>
      </w:tr>
      <w:tr w14:paraId="71218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012685BD">
            <w:pPr>
              <w:pStyle w:val="25"/>
              <w:spacing w:before="28"/>
              <w:ind w:left="2481" w:right="2264"/>
              <w:jc w:val="center"/>
              <w:rPr>
                <w:sz w:val="24"/>
                <w:highlight w:val="none"/>
                <w:lang w:eastAsia="en-US"/>
              </w:rPr>
            </w:pPr>
            <w:r>
              <w:rPr>
                <w:sz w:val="24"/>
                <w:highlight w:val="none"/>
                <w:lang w:eastAsia="en-US"/>
              </w:rPr>
              <w:t>总价</w:t>
            </w:r>
          </w:p>
        </w:tc>
        <w:tc>
          <w:tcPr>
            <w:tcW w:w="3239" w:type="dxa"/>
            <w:tcBorders>
              <w:right w:val="single" w:color="000000" w:sz="6" w:space="0"/>
            </w:tcBorders>
          </w:tcPr>
          <w:p w14:paraId="7DBFACBB">
            <w:pPr>
              <w:pStyle w:val="25"/>
              <w:rPr>
                <w:rFonts w:ascii="Times New Roman"/>
                <w:highlight w:val="none"/>
                <w:lang w:eastAsia="en-US"/>
              </w:rPr>
            </w:pPr>
          </w:p>
        </w:tc>
      </w:tr>
    </w:tbl>
    <w:p w14:paraId="27EB49C5">
      <w:pPr>
        <w:pStyle w:val="2"/>
        <w:spacing w:line="360" w:lineRule="auto"/>
        <w:rPr>
          <w:sz w:val="21"/>
          <w:szCs w:val="21"/>
          <w:highlight w:val="none"/>
        </w:rPr>
      </w:pPr>
    </w:p>
    <w:p w14:paraId="3F5BC1EB">
      <w:pPr>
        <w:pStyle w:val="2"/>
        <w:spacing w:before="6" w:line="360" w:lineRule="auto"/>
        <w:rPr>
          <w:sz w:val="21"/>
          <w:szCs w:val="21"/>
          <w:highlight w:val="none"/>
        </w:rPr>
      </w:pPr>
    </w:p>
    <w:p w14:paraId="1AA7A5DA">
      <w:pPr>
        <w:pStyle w:val="5"/>
        <w:numPr>
          <w:ilvl w:val="1"/>
          <w:numId w:val="19"/>
        </w:numPr>
        <w:tabs>
          <w:tab w:val="left" w:pos="1142"/>
        </w:tabs>
        <w:spacing w:before="0" w:line="360" w:lineRule="auto"/>
        <w:rPr>
          <w:sz w:val="21"/>
          <w:szCs w:val="21"/>
          <w:highlight w:val="none"/>
        </w:rPr>
      </w:pPr>
      <w:r>
        <w:rPr>
          <w:sz w:val="21"/>
          <w:szCs w:val="21"/>
          <w:highlight w:val="none"/>
        </w:rPr>
        <w:t>付款方式和发票开具方式</w:t>
      </w:r>
    </w:p>
    <w:p w14:paraId="1A1B983D">
      <w:pPr>
        <w:pStyle w:val="26"/>
        <w:numPr>
          <w:ilvl w:val="2"/>
          <w:numId w:val="19"/>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付款方式：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ab/>
      </w:r>
      <w:r>
        <w:rPr>
          <w:rFonts w:ascii="宋体" w:hAnsi="宋体"/>
          <w:highlight w:val="none"/>
        </w:rPr>
        <w:t>；</w:t>
      </w:r>
    </w:p>
    <w:p w14:paraId="38223DA8">
      <w:pPr>
        <w:pStyle w:val="26"/>
        <w:numPr>
          <w:ilvl w:val="2"/>
          <w:numId w:val="19"/>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发票开具方式：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43269CC1">
      <w:pPr>
        <w:pStyle w:val="5"/>
        <w:numPr>
          <w:ilvl w:val="1"/>
          <w:numId w:val="19"/>
        </w:numPr>
        <w:tabs>
          <w:tab w:val="left" w:pos="1142"/>
        </w:tabs>
        <w:spacing w:before="160" w:line="360" w:lineRule="auto"/>
        <w:rPr>
          <w:sz w:val="21"/>
          <w:szCs w:val="21"/>
          <w:highlight w:val="none"/>
        </w:rPr>
      </w:pPr>
      <w:r>
        <w:rPr>
          <w:sz w:val="21"/>
          <w:szCs w:val="21"/>
          <w:highlight w:val="none"/>
        </w:rPr>
        <w:t>服务期限、地点和方式</w:t>
      </w:r>
    </w:p>
    <w:p w14:paraId="563A7B87">
      <w:pPr>
        <w:pStyle w:val="26"/>
        <w:numPr>
          <w:ilvl w:val="2"/>
          <w:numId w:val="19"/>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服务期限：</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002EE765">
      <w:pPr>
        <w:pStyle w:val="26"/>
        <w:numPr>
          <w:ilvl w:val="2"/>
          <w:numId w:val="19"/>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服务地点：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1964CD28">
      <w:pPr>
        <w:pStyle w:val="26"/>
        <w:numPr>
          <w:ilvl w:val="2"/>
          <w:numId w:val="19"/>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4197BB14">
      <w:pPr>
        <w:pStyle w:val="5"/>
        <w:numPr>
          <w:ilvl w:val="1"/>
          <w:numId w:val="19"/>
        </w:numPr>
        <w:tabs>
          <w:tab w:val="left" w:pos="1142"/>
        </w:tabs>
        <w:spacing w:before="160" w:line="360" w:lineRule="auto"/>
        <w:rPr>
          <w:sz w:val="21"/>
          <w:szCs w:val="21"/>
          <w:highlight w:val="none"/>
        </w:rPr>
      </w:pPr>
      <w:r>
        <w:rPr>
          <w:sz w:val="21"/>
          <w:szCs w:val="21"/>
          <w:highlight w:val="none"/>
        </w:rPr>
        <w:t>违约责任</w:t>
      </w:r>
    </w:p>
    <w:p w14:paraId="23495AF6">
      <w:pPr>
        <w:pStyle w:val="26"/>
        <w:numPr>
          <w:ilvl w:val="2"/>
          <w:numId w:val="19"/>
        </w:numPr>
        <w:tabs>
          <w:tab w:val="left" w:pos="1327"/>
        </w:tabs>
        <w:autoSpaceDE w:val="0"/>
        <w:autoSpaceDN w:val="0"/>
        <w:spacing w:before="161" w:line="360" w:lineRule="auto"/>
        <w:ind w:left="220" w:right="356" w:firstLine="434" w:firstLineChars="0"/>
        <w:rPr>
          <w:rFonts w:ascii="宋体" w:hAnsi="宋体"/>
          <w:highlight w:val="none"/>
        </w:rPr>
      </w:pPr>
      <w:r>
        <w:rPr>
          <w:rFonts w:ascii="宋体" w:hAnsi="宋体"/>
          <w:spacing w:val="-1"/>
          <w:highlight w:val="none"/>
        </w:rPr>
        <w:t>除不可抗力外，如果乙方没有按照本合同约定的期限、地点和方式履</w:t>
      </w:r>
      <w:r>
        <w:rPr>
          <w:rFonts w:ascii="宋体" w:hAnsi="宋体"/>
          <w:spacing w:val="-11"/>
          <w:highlight w:val="none"/>
        </w:rPr>
        <w:t>行，那么甲方可要求乙方支付违约金，违约金按每迟延履行一日的应提供而未提</w:t>
      </w:r>
      <w:r>
        <w:rPr>
          <w:rFonts w:ascii="宋体" w:hAnsi="宋体"/>
          <w:highlight w:val="none"/>
        </w:rPr>
        <w:t>供服务价格的</w:t>
      </w:r>
      <w:r>
        <w:rPr>
          <w:rFonts w:ascii="宋体" w:hAnsi="宋体"/>
          <w:highlight w:val="none"/>
          <w:u w:val="single"/>
        </w:rPr>
        <w:t xml:space="preserve">   </w:t>
      </w:r>
      <w:r>
        <w:rPr>
          <w:rFonts w:ascii="宋体" w:hAnsi="宋体"/>
          <w:highlight w:val="none"/>
        </w:rPr>
        <w:t xml:space="preserve"> %计算，最高限额为本合同总价的</w:t>
      </w:r>
      <w:r>
        <w:rPr>
          <w:rFonts w:ascii="宋体" w:hAnsi="宋体"/>
          <w:highlight w:val="none"/>
          <w:u w:val="single"/>
        </w:rPr>
        <w:t xml:space="preserve">   </w:t>
      </w:r>
      <w:r>
        <w:rPr>
          <w:rFonts w:ascii="宋体" w:hAnsi="宋体"/>
          <w:highlight w:val="none"/>
        </w:rPr>
        <w:t xml:space="preserve"> %；迟延履行的违约金</w:t>
      </w:r>
      <w:r>
        <w:rPr>
          <w:rFonts w:ascii="宋体" w:hAnsi="宋体"/>
          <w:spacing w:val="-7"/>
          <w:highlight w:val="none"/>
        </w:rPr>
        <w:t>计算数额达到前述最高限额之日起，甲方有权在要求乙方支付违约金的同时，书</w:t>
      </w:r>
      <w:r>
        <w:rPr>
          <w:rFonts w:ascii="宋体" w:hAnsi="宋体"/>
          <w:highlight w:val="none"/>
        </w:rPr>
        <w:t>面通知乙方解除本合同；</w:t>
      </w:r>
    </w:p>
    <w:p w14:paraId="6D70FB0E">
      <w:pPr>
        <w:pStyle w:val="26"/>
        <w:numPr>
          <w:ilvl w:val="2"/>
          <w:numId w:val="19"/>
        </w:numPr>
        <w:tabs>
          <w:tab w:val="left" w:pos="1327"/>
        </w:tabs>
        <w:autoSpaceDE w:val="0"/>
        <w:autoSpaceDN w:val="0"/>
        <w:spacing w:before="3" w:line="360" w:lineRule="auto"/>
        <w:ind w:left="220" w:right="357" w:firstLine="434" w:firstLineChars="0"/>
        <w:rPr>
          <w:rFonts w:ascii="宋体" w:hAnsi="宋体"/>
          <w:highlight w:val="none"/>
        </w:rPr>
      </w:pPr>
      <w:r>
        <w:rPr>
          <w:rFonts w:ascii="宋体" w:hAnsi="宋体"/>
          <w:spacing w:val="-1"/>
          <w:highlight w:val="none"/>
        </w:rPr>
        <w:t>除不可抗力外，如果甲方没有按照本合同约定的付款方式付款，那么</w:t>
      </w:r>
      <w:r>
        <w:rPr>
          <w:rFonts w:ascii="宋体" w:hAnsi="宋体"/>
          <w:highlight w:val="none"/>
        </w:rPr>
        <w:t>乙方可要求甲方支付违约金，违约金按每迟延付款一日的应付而未付款的</w:t>
      </w:r>
      <w:r>
        <w:rPr>
          <w:rFonts w:ascii="宋体" w:hAnsi="宋体"/>
          <w:highlight w:val="none"/>
          <w:u w:val="single"/>
        </w:rPr>
        <w:t xml:space="preserve"> </w:t>
      </w:r>
      <w:r>
        <w:rPr>
          <w:rFonts w:ascii="宋体" w:hAnsi="宋体"/>
          <w:spacing w:val="2"/>
          <w:highlight w:val="none"/>
        </w:rPr>
        <w:t xml:space="preserve"> % </w:t>
      </w:r>
      <w:r>
        <w:rPr>
          <w:rFonts w:ascii="宋体" w:hAnsi="宋体"/>
          <w:spacing w:val="-7"/>
          <w:highlight w:val="none"/>
        </w:rPr>
        <w:t>计算，最高限额为本合同总价的</w:t>
      </w:r>
      <w:r>
        <w:rPr>
          <w:rFonts w:ascii="宋体" w:hAnsi="宋体"/>
          <w:highlight w:val="none"/>
          <w:u w:val="single"/>
        </w:rPr>
        <w:t xml:space="preserve">  </w:t>
      </w:r>
      <w:r>
        <w:rPr>
          <w:rFonts w:ascii="宋体" w:hAnsi="宋体"/>
          <w:spacing w:val="-1"/>
          <w:highlight w:val="none"/>
        </w:rPr>
        <w:t xml:space="preserve"> %；迟延付款的违约金计算数额达到前述最</w:t>
      </w:r>
      <w:r>
        <w:rPr>
          <w:rFonts w:ascii="宋体" w:hAnsi="宋体"/>
          <w:spacing w:val="-10"/>
          <w:highlight w:val="none"/>
        </w:rPr>
        <w:t>高限额之日起，乙方有权在要求甲方支付违约金的同时，书面通知甲方解除本合</w:t>
      </w:r>
      <w:r>
        <w:rPr>
          <w:rFonts w:ascii="宋体" w:hAnsi="宋体"/>
          <w:highlight w:val="none"/>
        </w:rPr>
        <w:t>同；</w:t>
      </w:r>
    </w:p>
    <w:p w14:paraId="43F364C8">
      <w:pPr>
        <w:pStyle w:val="26"/>
        <w:numPr>
          <w:ilvl w:val="2"/>
          <w:numId w:val="19"/>
        </w:numPr>
        <w:tabs>
          <w:tab w:val="left" w:pos="1327"/>
        </w:tabs>
        <w:autoSpaceDE w:val="0"/>
        <w:autoSpaceDN w:val="0"/>
        <w:spacing w:before="4" w:line="360" w:lineRule="auto"/>
        <w:ind w:left="220" w:right="117" w:firstLine="434" w:firstLineChars="0"/>
        <w:rPr>
          <w:rFonts w:ascii="宋体" w:hAnsi="宋体"/>
          <w:highlight w:val="none"/>
        </w:rPr>
      </w:pPr>
      <w:r>
        <w:rPr>
          <w:rFonts w:ascii="宋体" w:hAnsi="宋体"/>
          <w:highlight w:val="none"/>
        </w:rPr>
        <w:t xml:space="preserve">除不可抗力外，任何一方未能履行本合同约定的其他主要义务，经催 </w:t>
      </w:r>
      <w:r>
        <w:rPr>
          <w:rFonts w:ascii="宋体" w:hAnsi="宋体"/>
          <w:spacing w:val="-7"/>
          <w:highlight w:val="none"/>
        </w:rPr>
        <w:t xml:space="preserve">告后在合理期限内仍未履行的，或者任何一方有其他违约行为致使不能实现合同 </w:t>
      </w:r>
      <w:r>
        <w:rPr>
          <w:rFonts w:ascii="宋体" w:hAnsi="宋体"/>
          <w:spacing w:val="-10"/>
          <w:highlight w:val="none"/>
        </w:rPr>
        <w:t>目的的，或者任何一方有腐败行为</w:t>
      </w:r>
      <w:r>
        <w:rPr>
          <w:rFonts w:ascii="宋体" w:hAnsi="宋体"/>
          <w:highlight w:val="none"/>
        </w:rPr>
        <w:t>（</w:t>
      </w:r>
      <w:r>
        <w:rPr>
          <w:rFonts w:ascii="宋体" w:hAnsi="宋体"/>
          <w:spacing w:val="-6"/>
          <w:highlight w:val="none"/>
        </w:rPr>
        <w:t xml:space="preserve">即：提供或给予或接受或索取任何财物或其 </w:t>
      </w:r>
      <w:r>
        <w:rPr>
          <w:rFonts w:ascii="宋体" w:hAnsi="宋体"/>
          <w:spacing w:val="-10"/>
          <w:highlight w:val="none"/>
        </w:rPr>
        <w:t>他好处或者采取其他不正当手段影响对方当事人在合同签订、履行过程中的行为</w:t>
      </w:r>
      <w:r>
        <w:rPr>
          <w:rFonts w:ascii="宋体" w:hAnsi="宋体"/>
          <w:spacing w:val="-17"/>
          <w:highlight w:val="none"/>
        </w:rPr>
        <w:t xml:space="preserve">） </w:t>
      </w:r>
      <w:r>
        <w:rPr>
          <w:rFonts w:ascii="宋体" w:hAnsi="宋体"/>
          <w:spacing w:val="-8"/>
          <w:highlight w:val="none"/>
        </w:rPr>
        <w:t>或者欺诈行为</w:t>
      </w:r>
      <w:r>
        <w:rPr>
          <w:rFonts w:ascii="宋体" w:hAnsi="宋体"/>
          <w:highlight w:val="none"/>
        </w:rPr>
        <w:t>（</w:t>
      </w:r>
      <w:r>
        <w:rPr>
          <w:rFonts w:ascii="宋体" w:hAnsi="宋体"/>
          <w:spacing w:val="-7"/>
          <w:highlight w:val="none"/>
        </w:rPr>
        <w:t>即：以谎报事实或者隐瞒真相的方法来影响对方当事人在合同签 订、履行过程中的行为）的，对方当事人可以书面通知违约方解除本合同；</w:t>
      </w:r>
    </w:p>
    <w:p w14:paraId="7874EB29">
      <w:pPr>
        <w:pStyle w:val="26"/>
        <w:numPr>
          <w:ilvl w:val="2"/>
          <w:numId w:val="19"/>
        </w:numPr>
        <w:tabs>
          <w:tab w:val="left" w:pos="1327"/>
        </w:tabs>
        <w:autoSpaceDE w:val="0"/>
        <w:autoSpaceDN w:val="0"/>
        <w:spacing w:before="4" w:line="360" w:lineRule="auto"/>
        <w:ind w:left="220" w:right="357" w:firstLine="434" w:firstLineChars="0"/>
        <w:rPr>
          <w:rFonts w:ascii="宋体" w:hAnsi="宋体"/>
          <w:highlight w:val="none"/>
        </w:rPr>
      </w:pPr>
      <w:r>
        <w:rPr>
          <w:rFonts w:ascii="宋体" w:hAnsi="宋体"/>
          <w:spacing w:val="-1"/>
          <w:highlight w:val="none"/>
        </w:rPr>
        <w:t>任何一方按照前述约定要求违约方支付违约金的同时，仍有权要求违</w:t>
      </w:r>
      <w:r>
        <w:rPr>
          <w:rFonts w:ascii="宋体" w:hAnsi="宋体"/>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spacing w:val="-5"/>
          <w:highlight w:val="none"/>
        </w:rPr>
        <w:t>违约金和按照己方实际损失情况要求违约方赔偿损失；且守约方行使的任何权利</w:t>
      </w:r>
      <w:r>
        <w:rPr>
          <w:rFonts w:ascii="宋体" w:hAnsi="宋体"/>
          <w:highlight w:val="none"/>
        </w:rPr>
        <w:t>救济方式均不视为其放弃了其他法定或者约定的权利救济方式；</w:t>
      </w:r>
    </w:p>
    <w:p w14:paraId="4FABB59F">
      <w:pPr>
        <w:pStyle w:val="26"/>
        <w:numPr>
          <w:ilvl w:val="2"/>
          <w:numId w:val="19"/>
        </w:numPr>
        <w:tabs>
          <w:tab w:val="left" w:pos="1315"/>
        </w:tabs>
        <w:autoSpaceDE w:val="0"/>
        <w:autoSpaceDN w:val="0"/>
        <w:spacing w:before="3" w:line="360" w:lineRule="auto"/>
        <w:ind w:left="220" w:right="359" w:firstLine="434" w:firstLineChars="0"/>
        <w:rPr>
          <w:rFonts w:ascii="宋体" w:hAnsi="宋体"/>
          <w:highlight w:val="none"/>
        </w:rPr>
      </w:pPr>
      <w:r>
        <w:rPr>
          <w:rFonts w:ascii="宋体" w:hAnsi="宋体"/>
          <w:spacing w:val="-16"/>
          <w:highlight w:val="none"/>
        </w:rPr>
        <w:t xml:space="preserve">除前述约定外，除不可抗力外，任何一方未能履行本合同约定的义务， </w:t>
      </w:r>
      <w:r>
        <w:rPr>
          <w:rFonts w:ascii="宋体" w:hAnsi="宋体"/>
          <w:spacing w:val="-7"/>
          <w:highlight w:val="none"/>
        </w:rPr>
        <w:t>对方当事人均有权要求继续履行、采取补救措施或者赔偿损失等，且对方当事人</w:t>
      </w:r>
    </w:p>
    <w:p w14:paraId="21B1EC42">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41CF72FC">
      <w:pPr>
        <w:pStyle w:val="2"/>
        <w:spacing w:before="132" w:line="360" w:lineRule="auto"/>
        <w:rPr>
          <w:sz w:val="21"/>
          <w:szCs w:val="21"/>
          <w:highlight w:val="none"/>
        </w:rPr>
      </w:pPr>
      <w:r>
        <w:rPr>
          <w:sz w:val="21"/>
          <w:szCs w:val="21"/>
          <w:highlight w:val="none"/>
        </w:rPr>
        <w:t>行使的任何权利救济方式均不视为其放弃了其他法定或者约定的权利救济方式；</w:t>
      </w:r>
    </w:p>
    <w:p w14:paraId="54DFAE84">
      <w:pPr>
        <w:pStyle w:val="26"/>
        <w:numPr>
          <w:ilvl w:val="2"/>
          <w:numId w:val="19"/>
        </w:numPr>
        <w:tabs>
          <w:tab w:val="left" w:pos="1327"/>
        </w:tabs>
        <w:autoSpaceDE w:val="0"/>
        <w:autoSpaceDN w:val="0"/>
        <w:spacing w:before="160" w:line="360" w:lineRule="auto"/>
        <w:ind w:left="220" w:right="357" w:firstLine="434" w:firstLineChars="0"/>
        <w:rPr>
          <w:rFonts w:ascii="宋体" w:hAnsi="宋体"/>
          <w:highlight w:val="none"/>
        </w:rPr>
      </w:pPr>
      <w:r>
        <w:rPr>
          <w:rFonts w:ascii="宋体" w:hAnsi="宋体"/>
          <w:spacing w:val="-1"/>
          <w:highlight w:val="none"/>
        </w:rPr>
        <w:t>如果出现政府采购监督管理部门在处理投诉事项期间，书面通知甲方</w:t>
      </w:r>
      <w:r>
        <w:rPr>
          <w:rFonts w:ascii="宋体" w:hAnsi="宋体"/>
          <w:spacing w:val="-8"/>
          <w:highlight w:val="none"/>
        </w:rPr>
        <w:t>暂停采购活动的情形，或者询问或质疑事项可能影响中标结果的，导致甲方中止</w:t>
      </w:r>
      <w:r>
        <w:rPr>
          <w:rFonts w:ascii="宋体" w:hAnsi="宋体"/>
          <w:highlight w:val="none"/>
        </w:rPr>
        <w:t>履行合同的情形，均不视为甲方违约。</w:t>
      </w:r>
    </w:p>
    <w:p w14:paraId="2DF788D3">
      <w:pPr>
        <w:pStyle w:val="5"/>
        <w:numPr>
          <w:ilvl w:val="1"/>
          <w:numId w:val="19"/>
        </w:numPr>
        <w:tabs>
          <w:tab w:val="left" w:pos="1142"/>
        </w:tabs>
        <w:spacing w:before="2" w:line="360" w:lineRule="auto"/>
        <w:rPr>
          <w:sz w:val="21"/>
          <w:szCs w:val="21"/>
          <w:highlight w:val="none"/>
        </w:rPr>
      </w:pPr>
      <w:r>
        <w:rPr>
          <w:sz w:val="21"/>
          <w:szCs w:val="21"/>
          <w:highlight w:val="none"/>
        </w:rPr>
        <w:t>合同争议的解决</w:t>
      </w:r>
    </w:p>
    <w:p w14:paraId="08EBB16E">
      <w:pPr>
        <w:pStyle w:val="2"/>
        <w:tabs>
          <w:tab w:val="left" w:pos="6701"/>
        </w:tabs>
        <w:spacing w:before="161" w:line="360" w:lineRule="auto"/>
        <w:ind w:right="116" w:firstLine="434"/>
        <w:rPr>
          <w:sz w:val="21"/>
          <w:szCs w:val="21"/>
          <w:highlight w:val="none"/>
        </w:rPr>
      </w:pPr>
      <w:r>
        <w:rPr>
          <w:sz w:val="21"/>
          <w:szCs w:val="21"/>
          <w:highlight w:val="none"/>
        </w:rPr>
        <w:t>本合同履行过程中发生的任何争议</w:t>
      </w:r>
      <w:r>
        <w:rPr>
          <w:spacing w:val="-48"/>
          <w:sz w:val="21"/>
          <w:szCs w:val="21"/>
          <w:highlight w:val="none"/>
        </w:rPr>
        <w:t>，</w:t>
      </w:r>
      <w:r>
        <w:rPr>
          <w:sz w:val="21"/>
          <w:szCs w:val="21"/>
          <w:highlight w:val="none"/>
        </w:rPr>
        <w:t>双方当事人均可通过和解或者调解解决</w:t>
      </w:r>
      <w:r>
        <w:rPr>
          <w:spacing w:val="-17"/>
          <w:sz w:val="21"/>
          <w:szCs w:val="21"/>
          <w:highlight w:val="none"/>
        </w:rPr>
        <w:t xml:space="preserve">； </w:t>
      </w:r>
      <w:r>
        <w:rPr>
          <w:sz w:val="21"/>
          <w:szCs w:val="21"/>
          <w:highlight w:val="none"/>
        </w:rPr>
        <w:t>不愿和解、调解或者和解、调解不成的，可以选择下列第</w:t>
      </w:r>
      <w:r>
        <w:rPr>
          <w:sz w:val="21"/>
          <w:szCs w:val="21"/>
          <w:highlight w:val="none"/>
          <w:u w:val="single"/>
        </w:rPr>
        <w:t xml:space="preserve"> </w:t>
      </w:r>
      <w:r>
        <w:rPr>
          <w:sz w:val="21"/>
          <w:szCs w:val="21"/>
          <w:highlight w:val="none"/>
          <w:u w:val="single"/>
        </w:rPr>
        <w:tab/>
      </w:r>
      <w:r>
        <w:rPr>
          <w:sz w:val="21"/>
          <w:szCs w:val="21"/>
          <w:highlight w:val="none"/>
        </w:rPr>
        <w:t>种方式解决：</w:t>
      </w:r>
    </w:p>
    <w:p w14:paraId="54A18ACF">
      <w:pPr>
        <w:pStyle w:val="26"/>
        <w:numPr>
          <w:ilvl w:val="2"/>
          <w:numId w:val="19"/>
        </w:numPr>
        <w:tabs>
          <w:tab w:val="left" w:pos="1327"/>
          <w:tab w:val="left" w:pos="4207"/>
        </w:tabs>
        <w:autoSpaceDE w:val="0"/>
        <w:autoSpaceDN w:val="0"/>
        <w:spacing w:before="1" w:line="360" w:lineRule="auto"/>
        <w:ind w:left="220" w:right="358" w:firstLine="434" w:firstLineChars="0"/>
        <w:rPr>
          <w:rFonts w:ascii="宋体" w:hAnsi="宋体"/>
          <w:highlight w:val="none"/>
        </w:rPr>
      </w:pPr>
      <w:r>
        <w:rPr>
          <w:rFonts w:ascii="宋体" w:hAnsi="宋体"/>
          <w:highlight w:val="none"/>
        </w:rPr>
        <w:t>将争议提交</w:t>
      </w:r>
      <w:r>
        <w:rPr>
          <w:rFonts w:ascii="宋体" w:hAnsi="宋体"/>
          <w:highlight w:val="none"/>
          <w:u w:val="single"/>
        </w:rPr>
        <w:t xml:space="preserve"> </w:t>
      </w:r>
      <w:r>
        <w:rPr>
          <w:rFonts w:ascii="宋体" w:hAnsi="宋体"/>
          <w:highlight w:val="none"/>
          <w:u w:val="single"/>
        </w:rPr>
        <w:tab/>
      </w:r>
      <w:r>
        <w:rPr>
          <w:rFonts w:ascii="宋体" w:hAnsi="宋体"/>
          <w:highlight w:val="none"/>
        </w:rPr>
        <w:t>仲裁委员会依申请仲裁时其现行有效的</w:t>
      </w:r>
      <w:r>
        <w:rPr>
          <w:rFonts w:ascii="宋体" w:hAnsi="宋体"/>
          <w:spacing w:val="-19"/>
          <w:highlight w:val="none"/>
        </w:rPr>
        <w:t>仲</w:t>
      </w:r>
      <w:r>
        <w:rPr>
          <w:rFonts w:ascii="宋体" w:hAnsi="宋体"/>
          <w:highlight w:val="none"/>
        </w:rPr>
        <w:t>裁规则裁决；</w:t>
      </w:r>
    </w:p>
    <w:p w14:paraId="5EE27504">
      <w:pPr>
        <w:pStyle w:val="26"/>
        <w:numPr>
          <w:ilvl w:val="2"/>
          <w:numId w:val="19"/>
        </w:numPr>
        <w:tabs>
          <w:tab w:val="left" w:pos="1315"/>
          <w:tab w:val="left" w:pos="4435"/>
        </w:tabs>
        <w:autoSpaceDE w:val="0"/>
        <w:autoSpaceDN w:val="0"/>
        <w:spacing w:before="2" w:line="360" w:lineRule="auto"/>
        <w:ind w:hanging="661" w:firstLineChars="0"/>
        <w:rPr>
          <w:rFonts w:ascii="宋体" w:hAnsi="宋体"/>
          <w:highlight w:val="none"/>
        </w:rPr>
      </w:pPr>
      <w:r>
        <w:rPr>
          <w:rFonts w:ascii="宋体" w:hAnsi="宋体"/>
          <w:highlight w:val="none"/>
        </w:rPr>
        <w:t>向</w:t>
      </w:r>
      <w:r>
        <w:rPr>
          <w:rFonts w:ascii="宋体" w:hAnsi="宋体"/>
          <w:highlight w:val="none"/>
          <w:u w:val="single"/>
        </w:rPr>
        <w:t xml:space="preserve"> </w:t>
      </w:r>
      <w:r>
        <w:rPr>
          <w:rFonts w:ascii="宋体" w:hAnsi="宋体"/>
          <w:highlight w:val="none"/>
          <w:u w:val="single"/>
        </w:rPr>
        <w:tab/>
      </w:r>
      <w:r>
        <w:rPr>
          <w:rFonts w:ascii="宋体" w:hAnsi="宋体"/>
          <w:highlight w:val="none"/>
        </w:rPr>
        <w:t>人民法院起诉。</w:t>
      </w:r>
    </w:p>
    <w:p w14:paraId="6B05226C">
      <w:pPr>
        <w:pStyle w:val="5"/>
        <w:numPr>
          <w:ilvl w:val="1"/>
          <w:numId w:val="19"/>
        </w:numPr>
        <w:tabs>
          <w:tab w:val="left" w:pos="1142"/>
        </w:tabs>
        <w:spacing w:before="160" w:line="360" w:lineRule="auto"/>
        <w:rPr>
          <w:sz w:val="21"/>
          <w:szCs w:val="21"/>
          <w:highlight w:val="none"/>
        </w:rPr>
      </w:pPr>
      <w:r>
        <w:rPr>
          <w:sz w:val="21"/>
          <w:szCs w:val="21"/>
          <w:highlight w:val="none"/>
        </w:rPr>
        <w:t>合同生效</w:t>
      </w:r>
    </w:p>
    <w:p w14:paraId="1A3FF723">
      <w:pPr>
        <w:pStyle w:val="2"/>
        <w:spacing w:before="161" w:line="360" w:lineRule="auto"/>
        <w:ind w:left="654"/>
        <w:rPr>
          <w:sz w:val="21"/>
          <w:szCs w:val="21"/>
          <w:highlight w:val="none"/>
        </w:rPr>
      </w:pPr>
      <w:r>
        <w:rPr>
          <w:sz w:val="21"/>
          <w:szCs w:val="21"/>
          <w:highlight w:val="none"/>
        </w:rPr>
        <w:t>本合同自双方当事人盖章时生效。</w:t>
      </w:r>
    </w:p>
    <w:p w14:paraId="4F782113">
      <w:pPr>
        <w:pStyle w:val="2"/>
        <w:spacing w:line="360" w:lineRule="auto"/>
        <w:rPr>
          <w:sz w:val="21"/>
          <w:szCs w:val="21"/>
          <w:highlight w:val="none"/>
        </w:rPr>
      </w:pPr>
    </w:p>
    <w:p w14:paraId="65900AC7">
      <w:pPr>
        <w:pStyle w:val="2"/>
        <w:spacing w:line="360" w:lineRule="auto"/>
        <w:rPr>
          <w:sz w:val="21"/>
          <w:szCs w:val="21"/>
          <w:highlight w:val="none"/>
        </w:rPr>
      </w:pPr>
    </w:p>
    <w:p w14:paraId="32BFC2B6">
      <w:pPr>
        <w:pStyle w:val="2"/>
        <w:spacing w:line="360" w:lineRule="auto"/>
        <w:rPr>
          <w:sz w:val="21"/>
          <w:szCs w:val="21"/>
          <w:highlight w:val="none"/>
        </w:rPr>
      </w:pPr>
    </w:p>
    <w:p w14:paraId="65CC3553">
      <w:pPr>
        <w:pStyle w:val="2"/>
        <w:spacing w:line="360" w:lineRule="auto"/>
        <w:rPr>
          <w:sz w:val="21"/>
          <w:szCs w:val="21"/>
          <w:highlight w:val="none"/>
        </w:rPr>
      </w:pPr>
    </w:p>
    <w:p w14:paraId="21BBBF3C">
      <w:pPr>
        <w:pStyle w:val="2"/>
        <w:spacing w:line="360" w:lineRule="auto"/>
        <w:rPr>
          <w:sz w:val="21"/>
          <w:szCs w:val="21"/>
          <w:highlight w:val="none"/>
        </w:rPr>
      </w:pPr>
    </w:p>
    <w:p w14:paraId="2BA1C589">
      <w:pPr>
        <w:pStyle w:val="2"/>
        <w:spacing w:before="10" w:line="360" w:lineRule="auto"/>
        <w:rPr>
          <w:sz w:val="21"/>
          <w:szCs w:val="21"/>
          <w:highlight w:val="none"/>
        </w:rPr>
      </w:pPr>
    </w:p>
    <w:p w14:paraId="5DC4C64E">
      <w:pPr>
        <w:pStyle w:val="2"/>
        <w:tabs>
          <w:tab w:val="left" w:pos="940"/>
          <w:tab w:val="left" w:pos="1900"/>
          <w:tab w:val="left" w:pos="3940"/>
          <w:tab w:val="left" w:pos="5141"/>
          <w:tab w:val="left" w:pos="6341"/>
          <w:tab w:val="left" w:pos="8381"/>
        </w:tabs>
        <w:spacing w:line="360" w:lineRule="auto"/>
        <w:rPr>
          <w:sz w:val="21"/>
          <w:szCs w:val="21"/>
          <w:highlight w:val="none"/>
        </w:rPr>
      </w:pPr>
      <w:r>
        <w:rPr>
          <w:sz w:val="21"/>
          <w:szCs w:val="21"/>
          <w:highlight w:val="none"/>
        </w:rPr>
        <w:t>甲</w:t>
      </w:r>
      <w:r>
        <w:rPr>
          <w:sz w:val="21"/>
          <w:szCs w:val="21"/>
          <w:highlight w:val="none"/>
        </w:rPr>
        <w:tab/>
      </w:r>
      <w:r>
        <w:rPr>
          <w:sz w:val="21"/>
          <w:szCs w:val="21"/>
          <w:highlight w:val="none"/>
        </w:rPr>
        <w:t>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r>
        <w:rPr>
          <w:sz w:val="21"/>
          <w:szCs w:val="21"/>
          <w:highlight w:val="none"/>
        </w:rPr>
        <w:tab/>
      </w:r>
      <w:r>
        <w:rPr>
          <w:sz w:val="21"/>
          <w:szCs w:val="21"/>
          <w:highlight w:val="none"/>
        </w:rPr>
        <w:t>乙方：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p>
    <w:p w14:paraId="03F7EE71">
      <w:pPr>
        <w:pStyle w:val="2"/>
        <w:spacing w:before="6" w:line="360" w:lineRule="auto"/>
        <w:rPr>
          <w:sz w:val="21"/>
          <w:szCs w:val="21"/>
          <w:highlight w:val="none"/>
        </w:rPr>
      </w:pPr>
    </w:p>
    <w:p w14:paraId="455150CB">
      <w:pPr>
        <w:pStyle w:val="2"/>
        <w:tabs>
          <w:tab w:val="left" w:pos="5141"/>
        </w:tabs>
        <w:spacing w:before="66" w:line="360" w:lineRule="auto"/>
        <w:rPr>
          <w:sz w:val="21"/>
          <w:szCs w:val="21"/>
          <w:highlight w:val="none"/>
        </w:rPr>
      </w:pPr>
      <w:r>
        <w:rPr>
          <w:sz w:val="21"/>
          <w:szCs w:val="21"/>
          <w:highlight w:val="none"/>
        </w:rPr>
        <w:t>法定代表人</w:t>
      </w:r>
      <w:r>
        <w:rPr>
          <w:sz w:val="21"/>
          <w:szCs w:val="21"/>
          <w:highlight w:val="none"/>
        </w:rPr>
        <w:tab/>
      </w:r>
      <w:r>
        <w:rPr>
          <w:sz w:val="21"/>
          <w:szCs w:val="21"/>
          <w:highlight w:val="none"/>
        </w:rPr>
        <w:t>法定代表人</w:t>
      </w:r>
    </w:p>
    <w:p w14:paraId="594A46DF">
      <w:pPr>
        <w:pStyle w:val="2"/>
        <w:spacing w:before="11" w:line="360" w:lineRule="auto"/>
        <w:rPr>
          <w:sz w:val="21"/>
          <w:szCs w:val="21"/>
          <w:highlight w:val="none"/>
        </w:rPr>
      </w:pPr>
    </w:p>
    <w:p w14:paraId="093AEA23">
      <w:pPr>
        <w:pStyle w:val="2"/>
        <w:tabs>
          <w:tab w:val="left" w:pos="5141"/>
        </w:tabs>
        <w:spacing w:line="360" w:lineRule="auto"/>
        <w:rPr>
          <w:sz w:val="21"/>
          <w:szCs w:val="21"/>
          <w:highlight w:val="none"/>
        </w:rPr>
      </w:pPr>
      <w:r>
        <w:rPr>
          <w:sz w:val="21"/>
          <w:szCs w:val="21"/>
          <w:highlight w:val="none"/>
        </w:rPr>
        <w:t>或授权代表（签字</w:t>
      </w:r>
      <w:r>
        <w:rPr>
          <w:spacing w:val="-120"/>
          <w:sz w:val="21"/>
          <w:szCs w:val="21"/>
          <w:highlight w:val="none"/>
        </w:rPr>
        <w:t>）</w:t>
      </w:r>
      <w:r>
        <w:rPr>
          <w:rFonts w:hint="eastAsia"/>
          <w:sz w:val="21"/>
          <w:szCs w:val="21"/>
          <w:highlight w:val="none"/>
        </w:rPr>
        <w:t>）：</w:t>
      </w:r>
      <w:r>
        <w:rPr>
          <w:sz w:val="21"/>
          <w:szCs w:val="21"/>
          <w:highlight w:val="none"/>
        </w:rPr>
        <w:tab/>
      </w:r>
      <w:r>
        <w:rPr>
          <w:sz w:val="21"/>
          <w:szCs w:val="21"/>
          <w:highlight w:val="none"/>
        </w:rPr>
        <w:t>或授权代表（签字</w:t>
      </w:r>
      <w:r>
        <w:rPr>
          <w:spacing w:val="-120"/>
          <w:sz w:val="21"/>
          <w:szCs w:val="21"/>
          <w:highlight w:val="none"/>
        </w:rPr>
        <w:t>））</w:t>
      </w:r>
      <w:r>
        <w:rPr>
          <w:rFonts w:hint="eastAsia"/>
          <w:sz w:val="21"/>
          <w:szCs w:val="21"/>
          <w:highlight w:val="none"/>
        </w:rPr>
        <w:t>）：</w:t>
      </w:r>
    </w:p>
    <w:p w14:paraId="25805B1D">
      <w:pPr>
        <w:pStyle w:val="2"/>
        <w:spacing w:before="8" w:line="360" w:lineRule="auto"/>
        <w:rPr>
          <w:sz w:val="21"/>
          <w:szCs w:val="21"/>
          <w:highlight w:val="none"/>
        </w:rPr>
      </w:pPr>
    </w:p>
    <w:p w14:paraId="2B52F269">
      <w:pPr>
        <w:pStyle w:val="2"/>
        <w:tabs>
          <w:tab w:val="left" w:pos="1660"/>
          <w:tab w:val="left" w:pos="2380"/>
          <w:tab w:val="left" w:pos="3100"/>
          <w:tab w:val="left" w:pos="5141"/>
          <w:tab w:val="left" w:pos="6581"/>
          <w:tab w:val="left" w:pos="7301"/>
          <w:tab w:val="left" w:pos="8021"/>
        </w:tabs>
        <w:spacing w:line="360" w:lineRule="auto"/>
        <w:rPr>
          <w:sz w:val="21"/>
          <w:szCs w:val="21"/>
          <w:highlight w:val="none"/>
        </w:rPr>
      </w:pP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r>
        <w:rPr>
          <w:sz w:val="21"/>
          <w:szCs w:val="21"/>
          <w:highlight w:val="none"/>
        </w:rPr>
        <w:tab/>
      </w: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58C87873">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6287E4C3">
      <w:pPr>
        <w:pStyle w:val="5"/>
        <w:spacing w:line="360" w:lineRule="auto"/>
        <w:ind w:left="1367" w:right="1505"/>
        <w:jc w:val="center"/>
        <w:rPr>
          <w:sz w:val="21"/>
          <w:szCs w:val="21"/>
          <w:highlight w:val="none"/>
        </w:rPr>
      </w:pPr>
      <w:r>
        <w:rPr>
          <w:sz w:val="21"/>
          <w:szCs w:val="21"/>
          <w:highlight w:val="none"/>
        </w:rPr>
        <w:t>第二部分 合同一般条款</w:t>
      </w:r>
    </w:p>
    <w:p w14:paraId="57A6CB1C">
      <w:pPr>
        <w:pStyle w:val="5"/>
        <w:numPr>
          <w:ilvl w:val="1"/>
          <w:numId w:val="20"/>
        </w:numPr>
        <w:tabs>
          <w:tab w:val="left" w:pos="1142"/>
        </w:tabs>
        <w:spacing w:before="160" w:line="360" w:lineRule="auto"/>
        <w:rPr>
          <w:sz w:val="21"/>
          <w:szCs w:val="21"/>
          <w:highlight w:val="none"/>
        </w:rPr>
      </w:pPr>
      <w:r>
        <w:rPr>
          <w:sz w:val="21"/>
          <w:szCs w:val="21"/>
          <w:highlight w:val="none"/>
        </w:rPr>
        <w:t>定义</w:t>
      </w:r>
    </w:p>
    <w:p w14:paraId="427DEE04">
      <w:pPr>
        <w:pStyle w:val="2"/>
        <w:spacing w:before="161" w:line="360" w:lineRule="auto"/>
        <w:ind w:left="654"/>
        <w:rPr>
          <w:sz w:val="21"/>
          <w:szCs w:val="21"/>
          <w:highlight w:val="none"/>
        </w:rPr>
      </w:pPr>
      <w:r>
        <w:rPr>
          <w:sz w:val="21"/>
          <w:szCs w:val="21"/>
          <w:highlight w:val="none"/>
        </w:rPr>
        <w:t>本合同中的下列词语应按以下内容进行解释：</w:t>
      </w:r>
    </w:p>
    <w:p w14:paraId="52F5CFA6">
      <w:pPr>
        <w:pStyle w:val="26"/>
        <w:numPr>
          <w:ilvl w:val="2"/>
          <w:numId w:val="20"/>
        </w:numPr>
        <w:tabs>
          <w:tab w:val="left" w:pos="1256"/>
        </w:tabs>
        <w:autoSpaceDE w:val="0"/>
        <w:autoSpaceDN w:val="0"/>
        <w:spacing w:before="160" w:line="360" w:lineRule="auto"/>
        <w:ind w:right="358" w:firstLine="434" w:firstLineChars="0"/>
        <w:rPr>
          <w:rFonts w:ascii="宋体" w:hAnsi="宋体"/>
          <w:highlight w:val="none"/>
        </w:rPr>
      </w:pPr>
      <w:r>
        <w:rPr>
          <w:rFonts w:ascii="宋体" w:hAnsi="宋体"/>
          <w:highlight w:val="none"/>
        </w:rPr>
        <w:t>“合同”系指采购人和中标人签订的载明双方当事人所达成的协议， 并包括所有的附件、附录和构成合同的其他文件。</w:t>
      </w:r>
    </w:p>
    <w:p w14:paraId="4E699175">
      <w:pPr>
        <w:pStyle w:val="26"/>
        <w:numPr>
          <w:ilvl w:val="2"/>
          <w:numId w:val="20"/>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“合同价”系指根据合同约定，中标人在完全履行合同义务后，采购人应支付给中标人的价格。</w:t>
      </w:r>
    </w:p>
    <w:p w14:paraId="10E3D6BD">
      <w:pPr>
        <w:pStyle w:val="26"/>
        <w:numPr>
          <w:ilvl w:val="2"/>
          <w:numId w:val="20"/>
        </w:numPr>
        <w:tabs>
          <w:tab w:val="left" w:pos="1256"/>
        </w:tabs>
        <w:autoSpaceDE w:val="0"/>
        <w:autoSpaceDN w:val="0"/>
        <w:spacing w:before="1" w:line="360" w:lineRule="auto"/>
        <w:ind w:right="356" w:firstLine="434" w:firstLineChars="0"/>
        <w:rPr>
          <w:rFonts w:ascii="宋体" w:hAnsi="宋体"/>
          <w:highlight w:val="none"/>
        </w:rPr>
      </w:pPr>
      <w:r>
        <w:rPr>
          <w:rFonts w:ascii="宋体" w:hAnsi="宋体"/>
          <w:highlight w:val="none"/>
        </w:rPr>
        <w:t>“服务”系指中标人根据合同约定应向采购人履行的除货物和工程以</w:t>
      </w:r>
      <w:r>
        <w:rPr>
          <w:rFonts w:ascii="宋体" w:hAnsi="宋体"/>
          <w:spacing w:val="-10"/>
          <w:highlight w:val="none"/>
        </w:rPr>
        <w:t>外的其他政府采购对象，包括采购人自身需要的服务和向社会公众提供的公共服</w:t>
      </w:r>
      <w:r>
        <w:rPr>
          <w:rFonts w:ascii="宋体" w:hAnsi="宋体"/>
          <w:highlight w:val="none"/>
        </w:rPr>
        <w:t>务。</w:t>
      </w:r>
    </w:p>
    <w:p w14:paraId="112CC449">
      <w:pPr>
        <w:pStyle w:val="26"/>
        <w:numPr>
          <w:ilvl w:val="2"/>
          <w:numId w:val="20"/>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“甲方”系指与中标人签署合同的采购人；采购人委托采购代理机构代表其与乙方签订合同的，采购人的授权委托书作为合同附件。</w:t>
      </w:r>
    </w:p>
    <w:p w14:paraId="50718E50">
      <w:pPr>
        <w:pStyle w:val="26"/>
        <w:numPr>
          <w:ilvl w:val="2"/>
          <w:numId w:val="20"/>
        </w:numPr>
        <w:tabs>
          <w:tab w:val="left" w:pos="1256"/>
        </w:tabs>
        <w:autoSpaceDE w:val="0"/>
        <w:autoSpaceDN w:val="0"/>
        <w:spacing w:before="1" w:line="360" w:lineRule="auto"/>
        <w:ind w:right="244" w:firstLine="434" w:firstLineChars="0"/>
        <w:rPr>
          <w:rFonts w:ascii="宋体" w:hAnsi="宋体"/>
          <w:highlight w:val="none"/>
        </w:rPr>
      </w:pPr>
      <w:r>
        <w:rPr>
          <w:rFonts w:ascii="宋体" w:hAnsi="宋体"/>
          <w:highlight w:val="none"/>
        </w:rPr>
        <w:t>“乙方”系指根据合同约定提供服务的中标人；两个以上的自然人、</w:t>
      </w:r>
      <w:r>
        <w:rPr>
          <w:rFonts w:ascii="宋体" w:hAnsi="宋体"/>
          <w:spacing w:val="-1"/>
          <w:highlight w:val="none"/>
        </w:rPr>
        <w:t xml:space="preserve">法人或者其他组织组成一个联合体，以一个供应商的身份共同参加政府采购的， </w:t>
      </w:r>
      <w:r>
        <w:rPr>
          <w:rFonts w:ascii="宋体" w:hAnsi="宋体"/>
          <w:spacing w:val="-4"/>
          <w:highlight w:val="none"/>
        </w:rPr>
        <w:t>联合体各方均应为乙方或者与乙方相同地位的合同当事人，并就合同约定的事项对甲方承担连带责任。</w:t>
      </w:r>
    </w:p>
    <w:p w14:paraId="59CEF9BD">
      <w:pPr>
        <w:pStyle w:val="26"/>
        <w:numPr>
          <w:ilvl w:val="2"/>
          <w:numId w:val="20"/>
        </w:numPr>
        <w:tabs>
          <w:tab w:val="left" w:pos="1256"/>
        </w:tabs>
        <w:autoSpaceDE w:val="0"/>
        <w:autoSpaceDN w:val="0"/>
        <w:spacing w:before="3" w:line="360" w:lineRule="auto"/>
        <w:ind w:left="1255" w:hanging="602" w:firstLineChars="0"/>
        <w:rPr>
          <w:rFonts w:ascii="宋体" w:hAnsi="宋体"/>
          <w:highlight w:val="none"/>
        </w:rPr>
      </w:pPr>
      <w:r>
        <w:rPr>
          <w:rFonts w:ascii="宋体" w:hAnsi="宋体"/>
          <w:highlight w:val="none"/>
        </w:rPr>
        <w:t>“现场”系指合同约定提供服务的地点。</w:t>
      </w:r>
    </w:p>
    <w:p w14:paraId="0168230A">
      <w:pPr>
        <w:pStyle w:val="5"/>
        <w:numPr>
          <w:ilvl w:val="1"/>
          <w:numId w:val="20"/>
        </w:numPr>
        <w:tabs>
          <w:tab w:val="left" w:pos="1142"/>
        </w:tabs>
        <w:spacing w:before="161" w:line="360" w:lineRule="auto"/>
        <w:rPr>
          <w:sz w:val="21"/>
          <w:szCs w:val="21"/>
          <w:highlight w:val="none"/>
        </w:rPr>
      </w:pPr>
      <w:r>
        <w:rPr>
          <w:sz w:val="21"/>
          <w:szCs w:val="21"/>
          <w:highlight w:val="none"/>
        </w:rPr>
        <w:t>技术规范</w:t>
      </w:r>
    </w:p>
    <w:p w14:paraId="0D0CBF18">
      <w:pPr>
        <w:pStyle w:val="2"/>
        <w:spacing w:before="160" w:line="360" w:lineRule="auto"/>
        <w:ind w:right="356" w:firstLine="434"/>
        <w:jc w:val="both"/>
        <w:rPr>
          <w:sz w:val="21"/>
          <w:szCs w:val="21"/>
          <w:highlight w:val="none"/>
        </w:rPr>
      </w:pPr>
      <w:r>
        <w:rPr>
          <w:sz w:val="21"/>
          <w:szCs w:val="21"/>
          <w:highlight w:val="none"/>
        </w:rPr>
        <w:t>货物所应遵守的技术规范应与采购文件规定的技术规范和技术规范附件(如</w:t>
      </w:r>
      <w:r>
        <w:rPr>
          <w:spacing w:val="-1"/>
          <w:sz w:val="21"/>
          <w:szCs w:val="21"/>
          <w:highlight w:val="none"/>
        </w:rPr>
        <w:t>果有的话)及其技术规范偏差表(如果被甲方接受的话)相一致；如果采购文件中</w:t>
      </w:r>
      <w:r>
        <w:rPr>
          <w:spacing w:val="-9"/>
          <w:sz w:val="21"/>
          <w:szCs w:val="21"/>
          <w:highlight w:val="none"/>
        </w:rPr>
        <w:t>没有技术规范的相应说明，那么应以国家有关部门最新颁布的相应标准和规范为</w:t>
      </w:r>
      <w:r>
        <w:rPr>
          <w:sz w:val="21"/>
          <w:szCs w:val="21"/>
          <w:highlight w:val="none"/>
        </w:rPr>
        <w:t>准。</w:t>
      </w:r>
    </w:p>
    <w:p w14:paraId="4EA92BBC">
      <w:pPr>
        <w:pStyle w:val="5"/>
        <w:numPr>
          <w:ilvl w:val="1"/>
          <w:numId w:val="20"/>
        </w:numPr>
        <w:tabs>
          <w:tab w:val="left" w:pos="1142"/>
        </w:tabs>
        <w:spacing w:before="3" w:line="360" w:lineRule="auto"/>
        <w:rPr>
          <w:sz w:val="21"/>
          <w:szCs w:val="21"/>
          <w:highlight w:val="none"/>
        </w:rPr>
      </w:pPr>
      <w:r>
        <w:rPr>
          <w:sz w:val="21"/>
          <w:szCs w:val="21"/>
          <w:highlight w:val="none"/>
        </w:rPr>
        <w:t>知识产权</w:t>
      </w:r>
    </w:p>
    <w:p w14:paraId="61409D41">
      <w:pPr>
        <w:pStyle w:val="26"/>
        <w:numPr>
          <w:ilvl w:val="2"/>
          <w:numId w:val="20"/>
        </w:numPr>
        <w:tabs>
          <w:tab w:val="left" w:pos="1327"/>
        </w:tabs>
        <w:autoSpaceDE w:val="0"/>
        <w:autoSpaceDN w:val="0"/>
        <w:spacing w:before="161" w:line="360" w:lineRule="auto"/>
        <w:ind w:right="356" w:firstLine="434" w:firstLineChars="0"/>
        <w:rPr>
          <w:rFonts w:ascii="宋体" w:hAnsi="宋体"/>
          <w:highlight w:val="none"/>
        </w:rPr>
      </w:pPr>
      <w:r>
        <w:rPr>
          <w:rFonts w:ascii="宋体" w:hAnsi="宋体"/>
          <w:spacing w:val="-1"/>
          <w:highlight w:val="none"/>
        </w:rPr>
        <w:t>乙方应保证其提供的服务不受任何第三方提出的侵犯其著作权、商标</w:t>
      </w:r>
      <w:r>
        <w:rPr>
          <w:rFonts w:ascii="宋体" w:hAnsi="宋体"/>
          <w:spacing w:val="-10"/>
          <w:highlight w:val="none"/>
        </w:rPr>
        <w:t>权、专利权等知识产权方面的起诉；如果任何第三方提出侵权指控，那么乙方须</w:t>
      </w:r>
      <w:r>
        <w:rPr>
          <w:rFonts w:ascii="宋体" w:hAnsi="宋体"/>
          <w:highlight w:val="none"/>
        </w:rPr>
        <w:t>与该第三方交涉并承担由此发生的一切责任、费用和赔偿；</w:t>
      </w:r>
    </w:p>
    <w:p w14:paraId="395EC2C5">
      <w:pPr>
        <w:pStyle w:val="26"/>
        <w:numPr>
          <w:ilvl w:val="2"/>
          <w:numId w:val="20"/>
        </w:numPr>
        <w:tabs>
          <w:tab w:val="left" w:pos="1322"/>
        </w:tabs>
        <w:autoSpaceDE w:val="0"/>
        <w:autoSpaceDN w:val="0"/>
        <w:spacing w:line="360" w:lineRule="auto"/>
        <w:ind w:right="356" w:firstLine="434" w:firstLineChars="0"/>
        <w:rPr>
          <w:rFonts w:ascii="宋体" w:hAnsi="宋体"/>
          <w:highlight w:val="none"/>
        </w:rPr>
      </w:pPr>
      <w:r>
        <w:rPr>
          <w:rFonts w:ascii="宋体" w:hAnsi="宋体"/>
          <w:spacing w:val="-10"/>
          <w:highlight w:val="none"/>
        </w:rPr>
        <w:t>具有知识产权的计算机软件等货物的知识产权归属，详见</w:t>
      </w:r>
      <w:r>
        <w:rPr>
          <w:rFonts w:ascii="宋体" w:hAnsi="宋体"/>
          <w:b/>
          <w:highlight w:val="none"/>
          <w:u w:val="single"/>
        </w:rPr>
        <w:t>合同专用条款</w:t>
      </w:r>
      <w:r>
        <w:rPr>
          <w:rFonts w:ascii="宋体" w:hAnsi="宋体"/>
          <w:highlight w:val="none"/>
        </w:rPr>
        <w:t>。</w:t>
      </w:r>
    </w:p>
    <w:p w14:paraId="6B1C15FB">
      <w:pPr>
        <w:pStyle w:val="5"/>
        <w:numPr>
          <w:ilvl w:val="1"/>
          <w:numId w:val="20"/>
        </w:numPr>
        <w:tabs>
          <w:tab w:val="left" w:pos="1142"/>
        </w:tabs>
        <w:spacing w:before="3" w:line="360" w:lineRule="auto"/>
        <w:rPr>
          <w:sz w:val="21"/>
          <w:szCs w:val="21"/>
          <w:highlight w:val="none"/>
        </w:rPr>
      </w:pPr>
      <w:r>
        <w:rPr>
          <w:sz w:val="21"/>
          <w:szCs w:val="21"/>
          <w:highlight w:val="none"/>
        </w:rPr>
        <w:t>履约检查和问题反馈</w:t>
      </w:r>
    </w:p>
    <w:p w14:paraId="76FD4A81">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5B6C93AE">
      <w:pPr>
        <w:pStyle w:val="26"/>
        <w:numPr>
          <w:ilvl w:val="2"/>
          <w:numId w:val="20"/>
        </w:numPr>
        <w:tabs>
          <w:tab w:val="left" w:pos="1327"/>
        </w:tabs>
        <w:autoSpaceDE w:val="0"/>
        <w:autoSpaceDN w:val="0"/>
        <w:spacing w:before="132" w:line="360" w:lineRule="auto"/>
        <w:ind w:right="356" w:firstLine="434" w:firstLineChars="0"/>
        <w:rPr>
          <w:rFonts w:ascii="宋体" w:hAnsi="宋体"/>
          <w:highlight w:val="none"/>
        </w:rPr>
      </w:pPr>
      <w:r>
        <w:rPr>
          <w:rFonts w:ascii="宋体" w:hAnsi="宋体"/>
          <w:spacing w:val="-1"/>
          <w:highlight w:val="none"/>
        </w:rPr>
        <w:t>甲方有权在其认为必要时，对乙方是否能够按照合同约定提供服务进</w:t>
      </w:r>
      <w:r>
        <w:rPr>
          <w:rFonts w:ascii="宋体" w:hAnsi="宋体"/>
          <w:spacing w:val="-10"/>
          <w:highlight w:val="none"/>
        </w:rPr>
        <w:t>行履约检查，以确保乙方所提供的服务能够依约满足甲方项目需求，但不得因履</w:t>
      </w:r>
      <w:r>
        <w:rPr>
          <w:rFonts w:ascii="宋体" w:hAnsi="宋体"/>
          <w:highlight w:val="none"/>
        </w:rPr>
        <w:t>约检查妨碍乙方的正常工作，乙方应予积极配合；</w:t>
      </w:r>
    </w:p>
    <w:p w14:paraId="04A13239">
      <w:pPr>
        <w:pStyle w:val="26"/>
        <w:numPr>
          <w:ilvl w:val="2"/>
          <w:numId w:val="20"/>
        </w:numPr>
        <w:tabs>
          <w:tab w:val="left" w:pos="1327"/>
        </w:tabs>
        <w:autoSpaceDE w:val="0"/>
        <w:autoSpaceDN w:val="0"/>
        <w:spacing w:before="2" w:line="360" w:lineRule="auto"/>
        <w:ind w:right="357" w:firstLine="434" w:firstLineChars="0"/>
        <w:rPr>
          <w:rFonts w:ascii="宋体" w:hAnsi="宋体"/>
          <w:highlight w:val="none"/>
        </w:rPr>
      </w:pPr>
      <w:r>
        <w:rPr>
          <w:rFonts w:ascii="宋体" w:hAnsi="宋体"/>
          <w:spacing w:val="-1"/>
          <w:highlight w:val="none"/>
        </w:rPr>
        <w:t>合同履行期间，甲方有权将履行过程中出现的问题反馈给乙方，双方</w:t>
      </w:r>
      <w:r>
        <w:rPr>
          <w:rFonts w:ascii="宋体" w:hAnsi="宋体"/>
          <w:highlight w:val="none"/>
        </w:rPr>
        <w:t>当事人应以书面形式约定需要完善和改进的内容。</w:t>
      </w:r>
    </w:p>
    <w:p w14:paraId="69A3412E">
      <w:pPr>
        <w:pStyle w:val="26"/>
        <w:numPr>
          <w:ilvl w:val="1"/>
          <w:numId w:val="20"/>
        </w:numPr>
        <w:tabs>
          <w:tab w:val="left" w:pos="1142"/>
        </w:tabs>
        <w:autoSpaceDE w:val="0"/>
        <w:autoSpaceDN w:val="0"/>
        <w:spacing w:before="1" w:line="360" w:lineRule="auto"/>
        <w:ind w:left="654" w:right="5575" w:firstLine="2" w:firstLineChars="0"/>
        <w:rPr>
          <w:rFonts w:ascii="宋体" w:hAnsi="宋体"/>
          <w:highlight w:val="none"/>
        </w:rPr>
      </w:pPr>
      <w:r>
        <w:rPr>
          <w:rFonts w:ascii="宋体" w:hAnsi="宋体"/>
          <w:b/>
          <w:spacing w:val="-2"/>
          <w:highlight w:val="none"/>
        </w:rPr>
        <w:t>结算方式和付款条件</w:t>
      </w:r>
      <w:r>
        <w:rPr>
          <w:rFonts w:ascii="宋体" w:hAnsi="宋体"/>
          <w:highlight w:val="none"/>
        </w:rPr>
        <w:t>详见</w:t>
      </w:r>
      <w:r>
        <w:rPr>
          <w:rFonts w:ascii="宋体" w:hAnsi="宋体"/>
          <w:b/>
          <w:highlight w:val="none"/>
          <w:u w:val="single"/>
        </w:rPr>
        <w:t>合同专用条款</w:t>
      </w:r>
      <w:r>
        <w:rPr>
          <w:rFonts w:ascii="宋体" w:hAnsi="宋体"/>
          <w:highlight w:val="none"/>
        </w:rPr>
        <w:t>。</w:t>
      </w:r>
    </w:p>
    <w:p w14:paraId="58D5C9C1">
      <w:pPr>
        <w:pStyle w:val="5"/>
        <w:numPr>
          <w:ilvl w:val="1"/>
          <w:numId w:val="20"/>
        </w:numPr>
        <w:tabs>
          <w:tab w:val="left" w:pos="1142"/>
        </w:tabs>
        <w:spacing w:before="1" w:line="360" w:lineRule="auto"/>
        <w:rPr>
          <w:sz w:val="21"/>
          <w:szCs w:val="21"/>
          <w:highlight w:val="none"/>
        </w:rPr>
      </w:pPr>
      <w:r>
        <w:rPr>
          <w:sz w:val="21"/>
          <w:szCs w:val="21"/>
          <w:highlight w:val="none"/>
        </w:rPr>
        <w:t>技术资料和保密义务</w:t>
      </w:r>
    </w:p>
    <w:p w14:paraId="686F2B80">
      <w:pPr>
        <w:pStyle w:val="26"/>
        <w:numPr>
          <w:ilvl w:val="2"/>
          <w:numId w:val="20"/>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乙方有权依据合同约定和项目需要，向甲方了解有关情况，调阅有关</w:t>
      </w:r>
      <w:r>
        <w:rPr>
          <w:rFonts w:ascii="宋体" w:hAnsi="宋体"/>
          <w:highlight w:val="none"/>
        </w:rPr>
        <w:t>资料等，甲方应予积极配合；</w:t>
      </w:r>
    </w:p>
    <w:p w14:paraId="03E78BC6">
      <w:pPr>
        <w:pStyle w:val="26"/>
        <w:numPr>
          <w:ilvl w:val="2"/>
          <w:numId w:val="20"/>
        </w:numPr>
        <w:tabs>
          <w:tab w:val="left" w:pos="1315"/>
        </w:tabs>
        <w:autoSpaceDE w:val="0"/>
        <w:autoSpaceDN w:val="0"/>
        <w:spacing w:before="2" w:line="360" w:lineRule="auto"/>
        <w:ind w:left="1314" w:hanging="661" w:firstLineChars="0"/>
        <w:rPr>
          <w:rFonts w:ascii="宋体" w:hAnsi="宋体"/>
          <w:highlight w:val="none"/>
        </w:rPr>
      </w:pPr>
      <w:r>
        <w:rPr>
          <w:rFonts w:ascii="宋体" w:hAnsi="宋体"/>
          <w:highlight w:val="none"/>
        </w:rPr>
        <w:t>乙方有义务妥善保管和保护由甲方提供的前款信息和资料等；</w:t>
      </w:r>
    </w:p>
    <w:p w14:paraId="2E61F09C">
      <w:pPr>
        <w:pStyle w:val="26"/>
        <w:numPr>
          <w:ilvl w:val="2"/>
          <w:numId w:val="20"/>
        </w:numPr>
        <w:tabs>
          <w:tab w:val="left" w:pos="1327"/>
        </w:tabs>
        <w:autoSpaceDE w:val="0"/>
        <w:autoSpaceDN w:val="0"/>
        <w:spacing w:before="160" w:line="360" w:lineRule="auto"/>
        <w:ind w:right="355" w:firstLine="434" w:firstLineChars="0"/>
        <w:rPr>
          <w:rFonts w:ascii="宋体" w:hAnsi="宋体"/>
          <w:highlight w:val="none"/>
        </w:rPr>
      </w:pPr>
      <w:r>
        <w:rPr>
          <w:rFonts w:ascii="宋体" w:hAnsi="宋体"/>
          <w:spacing w:val="-1"/>
          <w:highlight w:val="none"/>
        </w:rPr>
        <w:t>除非依照法律规定或者对方当事人的书面同意，任何一方均应保证不</w:t>
      </w:r>
      <w:r>
        <w:rPr>
          <w:rFonts w:ascii="宋体" w:hAnsi="宋体"/>
          <w:highlight w:val="none"/>
        </w:rPr>
        <w:t>向任何第三方提供或披露有关合同的或者履行合同过程中知悉的对方当事人任</w:t>
      </w:r>
      <w:r>
        <w:rPr>
          <w:rFonts w:ascii="宋体" w:hAnsi="宋体"/>
          <w:spacing w:val="-7"/>
          <w:highlight w:val="none"/>
        </w:rPr>
        <w:t>何未公开的信息和资料，包括但不限于技术情报、技术资料、商业秘密和商业信</w:t>
      </w:r>
      <w:r>
        <w:rPr>
          <w:rFonts w:ascii="宋体" w:hAnsi="宋体"/>
          <w:spacing w:val="-12"/>
          <w:highlight w:val="none"/>
        </w:rPr>
        <w:t>息等，并采取一切合理和必要措施和方式防止任何第三方接触到对方当事人的上</w:t>
      </w:r>
      <w:r>
        <w:rPr>
          <w:rFonts w:ascii="宋体" w:hAnsi="宋体"/>
          <w:highlight w:val="none"/>
        </w:rPr>
        <w:t>述保密信息和资料。</w:t>
      </w:r>
    </w:p>
    <w:p w14:paraId="58631477">
      <w:pPr>
        <w:pStyle w:val="5"/>
        <w:numPr>
          <w:ilvl w:val="1"/>
          <w:numId w:val="20"/>
        </w:numPr>
        <w:tabs>
          <w:tab w:val="left" w:pos="1142"/>
        </w:tabs>
        <w:spacing w:before="4" w:line="360" w:lineRule="auto"/>
        <w:rPr>
          <w:sz w:val="21"/>
          <w:szCs w:val="21"/>
          <w:highlight w:val="none"/>
        </w:rPr>
      </w:pPr>
      <w:r>
        <w:rPr>
          <w:sz w:val="21"/>
          <w:szCs w:val="21"/>
          <w:highlight w:val="none"/>
        </w:rPr>
        <w:t>质量保证</w:t>
      </w:r>
    </w:p>
    <w:p w14:paraId="254657EE">
      <w:pPr>
        <w:pStyle w:val="26"/>
        <w:numPr>
          <w:ilvl w:val="2"/>
          <w:numId w:val="20"/>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乙方应建立和完善履行合同的内部质量保证体系，并提供相关内部规</w:t>
      </w:r>
      <w:r>
        <w:rPr>
          <w:rFonts w:ascii="宋体" w:hAnsi="宋体"/>
          <w:highlight w:val="none"/>
        </w:rPr>
        <w:t>章制度给甲方，以便甲方进行监督检查；</w:t>
      </w:r>
    </w:p>
    <w:p w14:paraId="05F8177E">
      <w:pPr>
        <w:pStyle w:val="26"/>
        <w:numPr>
          <w:ilvl w:val="2"/>
          <w:numId w:val="20"/>
        </w:numPr>
        <w:tabs>
          <w:tab w:val="left" w:pos="1327"/>
        </w:tabs>
        <w:autoSpaceDE w:val="0"/>
        <w:autoSpaceDN w:val="0"/>
        <w:spacing w:before="1" w:line="360" w:lineRule="auto"/>
        <w:ind w:right="357" w:firstLine="434" w:firstLineChars="0"/>
        <w:rPr>
          <w:rFonts w:ascii="宋体" w:hAnsi="宋体"/>
          <w:highlight w:val="none"/>
        </w:rPr>
      </w:pPr>
      <w:r>
        <w:rPr>
          <w:rFonts w:ascii="宋体" w:hAnsi="宋体"/>
          <w:spacing w:val="-1"/>
          <w:highlight w:val="none"/>
        </w:rPr>
        <w:t>乙方应保证履行合同的人员数量和素质、软件和硬件设备的配置、场</w:t>
      </w:r>
      <w:r>
        <w:rPr>
          <w:rFonts w:ascii="宋体" w:hAnsi="宋体"/>
          <w:highlight w:val="none"/>
        </w:rPr>
        <w:t>地、环境和设施等满足全面履行合同的要求，并应接受甲方的监督检查。</w:t>
      </w:r>
    </w:p>
    <w:p w14:paraId="2FB51141">
      <w:pPr>
        <w:pStyle w:val="5"/>
        <w:numPr>
          <w:ilvl w:val="1"/>
          <w:numId w:val="20"/>
        </w:numPr>
        <w:tabs>
          <w:tab w:val="left" w:pos="1142"/>
        </w:tabs>
        <w:spacing w:before="2" w:line="360" w:lineRule="auto"/>
        <w:rPr>
          <w:sz w:val="21"/>
          <w:szCs w:val="21"/>
          <w:highlight w:val="none"/>
        </w:rPr>
      </w:pPr>
      <w:r>
        <w:rPr>
          <w:sz w:val="21"/>
          <w:szCs w:val="21"/>
          <w:highlight w:val="none"/>
        </w:rPr>
        <w:t>延迟履行</w:t>
      </w:r>
    </w:p>
    <w:p w14:paraId="73B742E8">
      <w:pPr>
        <w:pStyle w:val="2"/>
        <w:spacing w:before="161" w:line="360" w:lineRule="auto"/>
        <w:ind w:right="239" w:firstLine="434"/>
        <w:rPr>
          <w:sz w:val="21"/>
          <w:szCs w:val="21"/>
          <w:highlight w:val="none"/>
        </w:rPr>
      </w:pPr>
      <w:r>
        <w:rPr>
          <w:spacing w:val="-4"/>
          <w:sz w:val="21"/>
          <w:szCs w:val="21"/>
          <w:highlight w:val="none"/>
        </w:rPr>
        <w:t>在合同履行过程中，如果乙方遇到不能按时提供服务的情况，应及时以书面</w:t>
      </w:r>
      <w:r>
        <w:rPr>
          <w:spacing w:val="-16"/>
          <w:sz w:val="21"/>
          <w:szCs w:val="21"/>
          <w:highlight w:val="none"/>
        </w:rPr>
        <w:t xml:space="preserve">形式将不能按时提供服务的理由、预期延误时间通知甲方；甲方收到乙方通知后， </w:t>
      </w:r>
      <w:r>
        <w:rPr>
          <w:sz w:val="21"/>
          <w:szCs w:val="21"/>
          <w:highlight w:val="none"/>
        </w:rPr>
        <w:t>认为其理由正当的，可以书面形式酌情同意乙方可以延长履行的具体时间。</w:t>
      </w:r>
    </w:p>
    <w:p w14:paraId="6F9BFCEA">
      <w:pPr>
        <w:pStyle w:val="5"/>
        <w:numPr>
          <w:ilvl w:val="1"/>
          <w:numId w:val="20"/>
        </w:numPr>
        <w:tabs>
          <w:tab w:val="left" w:pos="1142"/>
        </w:tabs>
        <w:spacing w:before="1" w:line="360" w:lineRule="auto"/>
        <w:rPr>
          <w:sz w:val="21"/>
          <w:szCs w:val="21"/>
          <w:highlight w:val="none"/>
        </w:rPr>
      </w:pPr>
      <w:r>
        <w:rPr>
          <w:sz w:val="21"/>
          <w:szCs w:val="21"/>
          <w:highlight w:val="none"/>
        </w:rPr>
        <w:t>合同变更</w:t>
      </w:r>
    </w:p>
    <w:p w14:paraId="56858EF0">
      <w:pPr>
        <w:pStyle w:val="26"/>
        <w:numPr>
          <w:ilvl w:val="2"/>
          <w:numId w:val="20"/>
        </w:numPr>
        <w:tabs>
          <w:tab w:val="left" w:pos="1327"/>
        </w:tabs>
        <w:autoSpaceDE w:val="0"/>
        <w:autoSpaceDN w:val="0"/>
        <w:spacing w:before="161" w:line="360" w:lineRule="auto"/>
        <w:ind w:right="357" w:firstLine="434" w:firstLineChars="0"/>
        <w:rPr>
          <w:rFonts w:ascii="宋体" w:hAnsi="宋体"/>
          <w:highlight w:val="none"/>
        </w:rPr>
      </w:pPr>
      <w:r>
        <w:rPr>
          <w:rFonts w:ascii="宋体" w:hAnsi="宋体"/>
          <w:spacing w:val="-1"/>
          <w:highlight w:val="none"/>
        </w:rPr>
        <w:t>双方当事人协商一致，可以签订书面补充合同的形式变更合同，但不</w:t>
      </w:r>
      <w:r>
        <w:rPr>
          <w:rFonts w:ascii="宋体" w:hAnsi="宋体"/>
          <w:highlight w:val="none"/>
        </w:rPr>
        <w:t>得违背采购文件确定的事项；</w:t>
      </w:r>
    </w:p>
    <w:p w14:paraId="43566F08">
      <w:pPr>
        <w:pStyle w:val="26"/>
        <w:numPr>
          <w:ilvl w:val="2"/>
          <w:numId w:val="20"/>
        </w:numPr>
        <w:tabs>
          <w:tab w:val="left" w:pos="1327"/>
        </w:tabs>
        <w:autoSpaceDE w:val="0"/>
        <w:autoSpaceDN w:val="0"/>
        <w:spacing w:before="1" w:line="360" w:lineRule="auto"/>
        <w:ind w:left="1326" w:hanging="673" w:firstLineChars="0"/>
        <w:rPr>
          <w:rFonts w:ascii="宋体" w:hAnsi="宋体"/>
          <w:highlight w:val="none"/>
        </w:rPr>
      </w:pPr>
      <w:r>
        <w:rPr>
          <w:rFonts w:ascii="宋体" w:hAnsi="宋体"/>
          <w:highlight w:val="none"/>
        </w:rPr>
        <w:t>合同继续履行将损害国家利益和社会公共利益的，双方当事人应当以</w:t>
      </w:r>
    </w:p>
    <w:p w14:paraId="20223A77">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17DB23B4">
      <w:pPr>
        <w:pStyle w:val="2"/>
        <w:spacing w:before="132" w:line="360" w:lineRule="auto"/>
        <w:ind w:right="240"/>
        <w:rPr>
          <w:sz w:val="21"/>
          <w:szCs w:val="21"/>
          <w:highlight w:val="none"/>
        </w:rPr>
      </w:pPr>
      <w:r>
        <w:rPr>
          <w:sz w:val="21"/>
          <w:szCs w:val="21"/>
          <w:highlight w:val="none"/>
        </w:rPr>
        <w:t>书面形式变更合同。有过错的一方应当承担赔偿责任，双方当事人都有过错的， 各自承担相应的责任。</w:t>
      </w:r>
    </w:p>
    <w:p w14:paraId="4A9ADAEC">
      <w:pPr>
        <w:pStyle w:val="5"/>
        <w:numPr>
          <w:ilvl w:val="1"/>
          <w:numId w:val="20"/>
        </w:numPr>
        <w:tabs>
          <w:tab w:val="left" w:pos="1262"/>
        </w:tabs>
        <w:spacing w:before="1" w:line="360" w:lineRule="auto"/>
        <w:ind w:left="1262" w:hanging="605"/>
        <w:rPr>
          <w:sz w:val="21"/>
          <w:szCs w:val="21"/>
          <w:highlight w:val="none"/>
        </w:rPr>
      </w:pPr>
      <w:r>
        <w:rPr>
          <w:sz w:val="21"/>
          <w:szCs w:val="21"/>
          <w:highlight w:val="none"/>
        </w:rPr>
        <w:t>合同转让和分包</w:t>
      </w:r>
    </w:p>
    <w:p w14:paraId="6C85798E">
      <w:pPr>
        <w:pStyle w:val="2"/>
        <w:spacing w:before="161" w:line="360" w:lineRule="auto"/>
        <w:ind w:right="356" w:firstLine="434"/>
        <w:jc w:val="both"/>
        <w:rPr>
          <w:sz w:val="21"/>
          <w:szCs w:val="21"/>
          <w:highlight w:val="none"/>
        </w:rPr>
      </w:pPr>
      <w:r>
        <w:rPr>
          <w:spacing w:val="-5"/>
          <w:sz w:val="21"/>
          <w:szCs w:val="21"/>
          <w:highlight w:val="none"/>
        </w:rPr>
        <w:t>合同的权利义务依法不得转让，但经甲方同意，乙方可以依法采取分包方式</w:t>
      </w:r>
      <w:r>
        <w:rPr>
          <w:spacing w:val="-11"/>
          <w:sz w:val="21"/>
          <w:szCs w:val="21"/>
          <w:highlight w:val="none"/>
        </w:rPr>
        <w:t>履行合同，即：依法可以将合同项下的部分非主体、非关键性工作分包给他人完</w:t>
      </w:r>
      <w:r>
        <w:rPr>
          <w:spacing w:val="-10"/>
          <w:sz w:val="21"/>
          <w:szCs w:val="21"/>
          <w:highlight w:val="none"/>
        </w:rPr>
        <w:t>成，接受分包的人应当具备相应的资格条件，并不得再次分包，且乙方应就分包</w:t>
      </w:r>
      <w:r>
        <w:rPr>
          <w:sz w:val="21"/>
          <w:szCs w:val="21"/>
          <w:highlight w:val="none"/>
        </w:rPr>
        <w:t>项目向甲方负责，并与分包供应商就分包项目向甲方承担连带责任。</w:t>
      </w:r>
    </w:p>
    <w:p w14:paraId="5880438C">
      <w:pPr>
        <w:pStyle w:val="5"/>
        <w:numPr>
          <w:ilvl w:val="1"/>
          <w:numId w:val="20"/>
        </w:numPr>
        <w:tabs>
          <w:tab w:val="left" w:pos="1262"/>
        </w:tabs>
        <w:spacing w:before="3" w:line="360" w:lineRule="auto"/>
        <w:ind w:left="1262" w:hanging="605"/>
        <w:rPr>
          <w:sz w:val="21"/>
          <w:szCs w:val="21"/>
          <w:highlight w:val="none"/>
        </w:rPr>
      </w:pPr>
      <w:r>
        <w:rPr>
          <w:sz w:val="21"/>
          <w:szCs w:val="21"/>
          <w:highlight w:val="none"/>
        </w:rPr>
        <w:t>不可抗力</w:t>
      </w:r>
    </w:p>
    <w:p w14:paraId="647C6F30">
      <w:pPr>
        <w:pStyle w:val="26"/>
        <w:numPr>
          <w:ilvl w:val="2"/>
          <w:numId w:val="20"/>
        </w:numPr>
        <w:tabs>
          <w:tab w:val="left" w:pos="1435"/>
        </w:tabs>
        <w:autoSpaceDE w:val="0"/>
        <w:autoSpaceDN w:val="0"/>
        <w:spacing w:before="160" w:line="360" w:lineRule="auto"/>
        <w:ind w:right="361" w:firstLine="434" w:firstLineChars="0"/>
        <w:rPr>
          <w:rFonts w:ascii="宋体" w:hAnsi="宋体"/>
          <w:highlight w:val="none"/>
        </w:rPr>
      </w:pPr>
      <w:r>
        <w:rPr>
          <w:rFonts w:ascii="宋体" w:hAnsi="宋体"/>
          <w:spacing w:val="-7"/>
          <w:highlight w:val="none"/>
        </w:rPr>
        <w:t>如果任何一方遭遇法律规定的不可抗力，致使合同履行受阻时，履行</w:t>
      </w:r>
      <w:r>
        <w:rPr>
          <w:rFonts w:ascii="宋体" w:hAnsi="宋体"/>
          <w:highlight w:val="none"/>
        </w:rPr>
        <w:t>合同的期限应予延长，延长的期限应相当于不可抗力所影响的时间；</w:t>
      </w:r>
    </w:p>
    <w:p w14:paraId="0E1C4C9D">
      <w:pPr>
        <w:pStyle w:val="26"/>
        <w:numPr>
          <w:ilvl w:val="2"/>
          <w:numId w:val="20"/>
        </w:numPr>
        <w:tabs>
          <w:tab w:val="left" w:pos="1435"/>
        </w:tabs>
        <w:autoSpaceDE w:val="0"/>
        <w:autoSpaceDN w:val="0"/>
        <w:spacing w:before="1" w:line="360" w:lineRule="auto"/>
        <w:ind w:left="1434" w:hanging="781" w:firstLineChars="0"/>
        <w:rPr>
          <w:rFonts w:ascii="宋体" w:hAnsi="宋体"/>
          <w:highlight w:val="none"/>
        </w:rPr>
      </w:pPr>
      <w:r>
        <w:rPr>
          <w:rFonts w:ascii="宋体" w:hAnsi="宋体"/>
          <w:highlight w:val="none"/>
        </w:rPr>
        <w:t>因不可抗力致使不能实现合同目的的，当事人可以解除合同；</w:t>
      </w:r>
    </w:p>
    <w:p w14:paraId="3F148C49">
      <w:pPr>
        <w:pStyle w:val="26"/>
        <w:numPr>
          <w:ilvl w:val="2"/>
          <w:numId w:val="20"/>
        </w:numPr>
        <w:tabs>
          <w:tab w:val="left" w:pos="1435"/>
        </w:tabs>
        <w:autoSpaceDE w:val="0"/>
        <w:autoSpaceDN w:val="0"/>
        <w:spacing w:before="151" w:line="360" w:lineRule="auto"/>
        <w:ind w:right="356" w:firstLine="434" w:firstLineChars="0"/>
        <w:rPr>
          <w:rFonts w:ascii="宋体" w:hAnsi="宋体"/>
          <w:highlight w:val="none"/>
        </w:rPr>
      </w:pPr>
      <w:r>
        <w:rPr>
          <w:rFonts w:ascii="宋体" w:hAnsi="宋体"/>
          <w:highlight w:val="none"/>
        </w:rPr>
        <w:t>因不可抗力致使合同有变更必要的，双方当事人应在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约定时间内以书面形式变更合同；</w:t>
      </w:r>
    </w:p>
    <w:p w14:paraId="1D7D7750">
      <w:pPr>
        <w:pStyle w:val="26"/>
        <w:numPr>
          <w:ilvl w:val="2"/>
          <w:numId w:val="20"/>
        </w:numPr>
        <w:tabs>
          <w:tab w:val="left" w:pos="1435"/>
        </w:tabs>
        <w:autoSpaceDE w:val="0"/>
        <w:autoSpaceDN w:val="0"/>
        <w:spacing w:line="360" w:lineRule="auto"/>
        <w:ind w:right="356" w:firstLine="434" w:firstLineChars="0"/>
        <w:rPr>
          <w:rFonts w:ascii="宋体" w:hAnsi="宋体"/>
          <w:highlight w:val="none"/>
        </w:rPr>
      </w:pPr>
      <w:r>
        <w:rPr>
          <w:rFonts w:ascii="宋体" w:hAnsi="宋体"/>
          <w:highlight w:val="none"/>
        </w:rPr>
        <w:t>受不可抗力影响的一方在不可抗力发生后，应在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约定时间内以书面形式通知对方当事人，并在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约定时间内，将有关部门出具的证明文件送达对方当事人。</w:t>
      </w:r>
    </w:p>
    <w:p w14:paraId="7D4EC277">
      <w:pPr>
        <w:pStyle w:val="5"/>
        <w:numPr>
          <w:ilvl w:val="1"/>
          <w:numId w:val="20"/>
        </w:numPr>
        <w:tabs>
          <w:tab w:val="left" w:pos="1262"/>
        </w:tabs>
        <w:spacing w:before="11" w:line="360" w:lineRule="auto"/>
        <w:ind w:left="1262" w:hanging="605"/>
        <w:rPr>
          <w:sz w:val="21"/>
          <w:szCs w:val="21"/>
          <w:highlight w:val="none"/>
        </w:rPr>
      </w:pPr>
      <w:r>
        <w:rPr>
          <w:sz w:val="21"/>
          <w:szCs w:val="21"/>
          <w:highlight w:val="none"/>
        </w:rPr>
        <w:t>税费</w:t>
      </w:r>
    </w:p>
    <w:p w14:paraId="4F1ED0BF">
      <w:pPr>
        <w:pStyle w:val="2"/>
        <w:spacing w:before="161" w:line="360" w:lineRule="auto"/>
        <w:ind w:left="654"/>
        <w:rPr>
          <w:sz w:val="21"/>
          <w:szCs w:val="21"/>
          <w:highlight w:val="none"/>
        </w:rPr>
      </w:pPr>
      <w:r>
        <w:rPr>
          <w:sz w:val="21"/>
          <w:szCs w:val="21"/>
          <w:highlight w:val="none"/>
        </w:rPr>
        <w:t>与合同有关的一切税费，均按照中华人民共和国法律的相关规定缴纳。</w:t>
      </w:r>
    </w:p>
    <w:p w14:paraId="44260906">
      <w:pPr>
        <w:pStyle w:val="5"/>
        <w:numPr>
          <w:ilvl w:val="1"/>
          <w:numId w:val="20"/>
        </w:numPr>
        <w:tabs>
          <w:tab w:val="left" w:pos="1262"/>
        </w:tabs>
        <w:spacing w:before="160" w:line="360" w:lineRule="auto"/>
        <w:ind w:left="1262" w:hanging="605"/>
        <w:rPr>
          <w:sz w:val="21"/>
          <w:szCs w:val="21"/>
          <w:highlight w:val="none"/>
        </w:rPr>
      </w:pPr>
      <w:r>
        <w:rPr>
          <w:sz w:val="21"/>
          <w:szCs w:val="21"/>
          <w:highlight w:val="none"/>
        </w:rPr>
        <w:t>乙方破产</w:t>
      </w:r>
    </w:p>
    <w:p w14:paraId="0FB298E7">
      <w:pPr>
        <w:pStyle w:val="2"/>
        <w:spacing w:before="161" w:line="360" w:lineRule="auto"/>
        <w:ind w:right="358" w:firstLine="434"/>
        <w:jc w:val="both"/>
        <w:rPr>
          <w:sz w:val="21"/>
          <w:szCs w:val="21"/>
          <w:highlight w:val="none"/>
        </w:rPr>
      </w:pPr>
      <w:r>
        <w:rPr>
          <w:spacing w:val="-4"/>
          <w:sz w:val="21"/>
          <w:szCs w:val="21"/>
          <w:highlight w:val="none"/>
        </w:rPr>
        <w:t>如果乙方破产导致合同无法履行时，甲方可以书面形式通知乙方终止合同且</w:t>
      </w:r>
      <w:r>
        <w:rPr>
          <w:spacing w:val="-9"/>
          <w:sz w:val="21"/>
          <w:szCs w:val="21"/>
          <w:highlight w:val="none"/>
        </w:rPr>
        <w:t>不给予乙方任何补偿和赔偿，但合同的终止不损害或不影响甲方已经采取或将要</w:t>
      </w:r>
      <w:r>
        <w:rPr>
          <w:sz w:val="21"/>
          <w:szCs w:val="21"/>
          <w:highlight w:val="none"/>
        </w:rPr>
        <w:t>采取的任何要求乙方支付违约金、赔偿损失等的行动或补救措施的权利。</w:t>
      </w:r>
    </w:p>
    <w:p w14:paraId="6CD5B215">
      <w:pPr>
        <w:pStyle w:val="5"/>
        <w:numPr>
          <w:ilvl w:val="1"/>
          <w:numId w:val="20"/>
        </w:numPr>
        <w:tabs>
          <w:tab w:val="left" w:pos="1262"/>
        </w:tabs>
        <w:spacing w:before="2" w:line="360" w:lineRule="auto"/>
        <w:ind w:left="1262" w:hanging="605"/>
        <w:rPr>
          <w:sz w:val="21"/>
          <w:szCs w:val="21"/>
          <w:highlight w:val="none"/>
        </w:rPr>
      </w:pPr>
      <w:r>
        <w:rPr>
          <w:sz w:val="21"/>
          <w:szCs w:val="21"/>
          <w:highlight w:val="none"/>
        </w:rPr>
        <w:t>合同中止、终止</w:t>
      </w:r>
    </w:p>
    <w:p w14:paraId="7EDBD167">
      <w:pPr>
        <w:pStyle w:val="26"/>
        <w:numPr>
          <w:ilvl w:val="2"/>
          <w:numId w:val="20"/>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双方当事人不得擅自中止或者终止合同；</w:t>
      </w:r>
    </w:p>
    <w:p w14:paraId="6EE11BC3">
      <w:pPr>
        <w:pStyle w:val="26"/>
        <w:numPr>
          <w:ilvl w:val="2"/>
          <w:numId w:val="20"/>
        </w:numPr>
        <w:tabs>
          <w:tab w:val="left" w:pos="1435"/>
        </w:tabs>
        <w:autoSpaceDE w:val="0"/>
        <w:autoSpaceDN w:val="0"/>
        <w:spacing w:before="160" w:line="360" w:lineRule="auto"/>
        <w:ind w:right="357" w:firstLine="434" w:firstLineChars="0"/>
        <w:rPr>
          <w:rFonts w:ascii="宋体" w:hAnsi="宋体"/>
          <w:highlight w:val="none"/>
        </w:rPr>
      </w:pPr>
      <w:r>
        <w:rPr>
          <w:rFonts w:ascii="宋体" w:hAnsi="宋体"/>
          <w:spacing w:val="-6"/>
          <w:highlight w:val="none"/>
        </w:rPr>
        <w:t>合同继续履行将损害国家利益和社会公共利益的，双方当事人应当中</w:t>
      </w:r>
      <w:r>
        <w:rPr>
          <w:rFonts w:ascii="宋体" w:hAnsi="宋体"/>
          <w:spacing w:val="-8"/>
          <w:highlight w:val="none"/>
        </w:rPr>
        <w:t>止或者终止合同。有过错的一方应当承担赔偿责任，双方当事人都有过错的，各</w:t>
      </w:r>
      <w:r>
        <w:rPr>
          <w:rFonts w:ascii="宋体" w:hAnsi="宋体"/>
          <w:highlight w:val="none"/>
        </w:rPr>
        <w:t>自承担相应的责任。</w:t>
      </w:r>
    </w:p>
    <w:p w14:paraId="55DF9410">
      <w:pPr>
        <w:pStyle w:val="5"/>
        <w:numPr>
          <w:ilvl w:val="1"/>
          <w:numId w:val="20"/>
        </w:numPr>
        <w:tabs>
          <w:tab w:val="left" w:pos="1262"/>
        </w:tabs>
        <w:spacing w:before="2" w:line="360" w:lineRule="auto"/>
        <w:ind w:left="1262" w:hanging="605"/>
        <w:rPr>
          <w:sz w:val="21"/>
          <w:szCs w:val="21"/>
          <w:highlight w:val="none"/>
        </w:rPr>
      </w:pPr>
      <w:r>
        <w:rPr>
          <w:sz w:val="21"/>
          <w:szCs w:val="21"/>
          <w:highlight w:val="none"/>
        </w:rPr>
        <w:t>检验和验收</w:t>
      </w:r>
    </w:p>
    <w:p w14:paraId="6E6F7C35">
      <w:pPr>
        <w:pStyle w:val="26"/>
        <w:numPr>
          <w:ilvl w:val="2"/>
          <w:numId w:val="20"/>
        </w:numPr>
        <w:tabs>
          <w:tab w:val="left" w:pos="1435"/>
        </w:tabs>
        <w:autoSpaceDE w:val="0"/>
        <w:autoSpaceDN w:val="0"/>
        <w:spacing w:before="151" w:line="360" w:lineRule="auto"/>
        <w:ind w:left="1434" w:hanging="781" w:firstLineChars="0"/>
        <w:rPr>
          <w:rFonts w:ascii="宋体" w:hAnsi="宋体"/>
          <w:highlight w:val="none"/>
        </w:rPr>
      </w:pPr>
      <w:r>
        <w:rPr>
          <w:rFonts w:ascii="宋体" w:hAnsi="宋体"/>
          <w:highlight w:val="none"/>
        </w:rPr>
        <w:t>乙方按照</w:t>
      </w:r>
      <w:r>
        <w:rPr>
          <w:rFonts w:ascii="宋体" w:hAnsi="宋体"/>
          <w:b/>
          <w:highlight w:val="none"/>
          <w:u w:val="single"/>
        </w:rPr>
        <w:t>合同专用条款</w:t>
      </w:r>
      <w:r>
        <w:rPr>
          <w:rFonts w:ascii="宋体" w:hAnsi="宋体"/>
          <w:spacing w:val="-13"/>
          <w:highlight w:val="none"/>
        </w:rPr>
        <w:t>的约定，定期提交服务报告，甲方按照</w:t>
      </w:r>
      <w:r>
        <w:rPr>
          <w:rFonts w:ascii="宋体" w:hAnsi="宋体"/>
          <w:b/>
          <w:highlight w:val="none"/>
          <w:u w:val="single"/>
        </w:rPr>
        <w:t>合同专用条款</w:t>
      </w:r>
      <w:r>
        <w:rPr>
          <w:rFonts w:ascii="宋体" w:hAnsi="宋体"/>
          <w:highlight w:val="none"/>
        </w:rPr>
        <w:t>的约定进行定期验收；</w:t>
      </w:r>
    </w:p>
    <w:p w14:paraId="316806A7">
      <w:pPr>
        <w:pStyle w:val="26"/>
        <w:numPr>
          <w:ilvl w:val="2"/>
          <w:numId w:val="20"/>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spacing w:val="-8"/>
          <w:highlight w:val="none"/>
        </w:rPr>
        <w:t>合同期满或者履行完毕后，甲方有权组织</w:t>
      </w:r>
      <w:r>
        <w:rPr>
          <w:rFonts w:ascii="宋体" w:hAnsi="宋体"/>
          <w:highlight w:val="none"/>
        </w:rPr>
        <w:t>（</w:t>
      </w:r>
      <w:r>
        <w:rPr>
          <w:rFonts w:ascii="宋体" w:hAnsi="宋体"/>
          <w:spacing w:val="-2"/>
          <w:highlight w:val="none"/>
        </w:rPr>
        <w:t>包括依法邀请国家认可的</w:t>
      </w:r>
      <w:r>
        <w:rPr>
          <w:rFonts w:ascii="宋体" w:hAnsi="宋体"/>
          <w:highlight w:val="none"/>
        </w:rPr>
        <w:t>质量检测机构参加</w:t>
      </w:r>
      <w:r>
        <w:rPr>
          <w:rFonts w:ascii="宋体" w:hAnsi="宋体"/>
          <w:spacing w:val="-24"/>
          <w:highlight w:val="none"/>
        </w:rPr>
        <w:t>）</w:t>
      </w:r>
      <w:r>
        <w:rPr>
          <w:rFonts w:ascii="宋体" w:hAnsi="宋体"/>
          <w:spacing w:val="-7"/>
          <w:highlight w:val="none"/>
        </w:rPr>
        <w:t>对乙方履约的验收，即：按照合同约定的标准，组织对乙方</w:t>
      </w:r>
      <w:r>
        <w:rPr>
          <w:rFonts w:ascii="宋体" w:hAnsi="宋体"/>
          <w:spacing w:val="-8"/>
          <w:highlight w:val="none"/>
        </w:rPr>
        <w:t>履约情况的验收，并出具验收书；向社会公众提供的公共服务项目，验收时应当</w:t>
      </w:r>
      <w:r>
        <w:rPr>
          <w:rFonts w:ascii="宋体" w:hAnsi="宋体"/>
          <w:highlight w:val="none"/>
        </w:rPr>
        <w:t>邀请服务对象参与并出具意见，验收结果应当向社会公告；</w:t>
      </w:r>
    </w:p>
    <w:p w14:paraId="6BD192F6">
      <w:pPr>
        <w:pStyle w:val="26"/>
        <w:numPr>
          <w:ilvl w:val="2"/>
          <w:numId w:val="20"/>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highlight w:val="none"/>
        </w:rPr>
        <w:t>检验和验收标准、程序等具体内容以及前述验收书的效力详见</w:t>
      </w:r>
      <w:r>
        <w:rPr>
          <w:rFonts w:ascii="宋体" w:hAnsi="宋体"/>
          <w:b/>
          <w:highlight w:val="none"/>
          <w:u w:val="single"/>
        </w:rPr>
        <w:t>合同专用条款</w:t>
      </w:r>
      <w:r>
        <w:rPr>
          <w:rFonts w:ascii="宋体" w:hAnsi="宋体"/>
          <w:highlight w:val="none"/>
        </w:rPr>
        <w:t>。</w:t>
      </w:r>
    </w:p>
    <w:p w14:paraId="5DB82BFA">
      <w:pPr>
        <w:pStyle w:val="5"/>
        <w:numPr>
          <w:ilvl w:val="1"/>
          <w:numId w:val="20"/>
        </w:numPr>
        <w:tabs>
          <w:tab w:val="left" w:pos="1262"/>
        </w:tabs>
        <w:spacing w:before="3" w:line="360" w:lineRule="auto"/>
        <w:ind w:left="1262" w:hanging="605"/>
        <w:rPr>
          <w:sz w:val="21"/>
          <w:szCs w:val="21"/>
          <w:highlight w:val="none"/>
        </w:rPr>
      </w:pPr>
      <w:r>
        <w:rPr>
          <w:sz w:val="21"/>
          <w:szCs w:val="21"/>
          <w:highlight w:val="none"/>
        </w:rPr>
        <w:t>合同使用的文字和适用的法律</w:t>
      </w:r>
    </w:p>
    <w:p w14:paraId="2F6962E6">
      <w:pPr>
        <w:pStyle w:val="26"/>
        <w:numPr>
          <w:ilvl w:val="2"/>
          <w:numId w:val="20"/>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合同使用汉语书就、变更和解释；</w:t>
      </w:r>
    </w:p>
    <w:p w14:paraId="1EF44688">
      <w:pPr>
        <w:pStyle w:val="26"/>
        <w:numPr>
          <w:ilvl w:val="2"/>
          <w:numId w:val="20"/>
        </w:numPr>
        <w:tabs>
          <w:tab w:val="left" w:pos="1435"/>
        </w:tabs>
        <w:autoSpaceDE w:val="0"/>
        <w:autoSpaceDN w:val="0"/>
        <w:spacing w:before="160" w:line="360" w:lineRule="auto"/>
        <w:ind w:left="1434" w:hanging="781" w:firstLineChars="0"/>
        <w:rPr>
          <w:rFonts w:ascii="宋体" w:hAnsi="宋体"/>
          <w:highlight w:val="none"/>
        </w:rPr>
      </w:pPr>
      <w:r>
        <w:rPr>
          <w:rFonts w:ascii="宋体" w:hAnsi="宋体"/>
          <w:highlight w:val="none"/>
        </w:rPr>
        <w:t>合同适用中华人民共和国法律。</w:t>
      </w:r>
    </w:p>
    <w:p w14:paraId="12122680">
      <w:pPr>
        <w:pStyle w:val="5"/>
        <w:numPr>
          <w:ilvl w:val="1"/>
          <w:numId w:val="20"/>
        </w:numPr>
        <w:tabs>
          <w:tab w:val="left" w:pos="1262"/>
        </w:tabs>
        <w:spacing w:before="161" w:line="360" w:lineRule="auto"/>
        <w:ind w:left="1262" w:hanging="605"/>
        <w:rPr>
          <w:sz w:val="21"/>
          <w:szCs w:val="21"/>
          <w:highlight w:val="none"/>
        </w:rPr>
      </w:pPr>
      <w:r>
        <w:rPr>
          <w:sz w:val="21"/>
          <w:szCs w:val="21"/>
          <w:highlight w:val="none"/>
        </w:rPr>
        <w:t>履约保证金</w:t>
      </w:r>
    </w:p>
    <w:p w14:paraId="22058989">
      <w:pPr>
        <w:pStyle w:val="26"/>
        <w:numPr>
          <w:ilvl w:val="2"/>
          <w:numId w:val="20"/>
        </w:numPr>
        <w:tabs>
          <w:tab w:val="left" w:pos="1435"/>
        </w:tabs>
        <w:autoSpaceDE w:val="0"/>
        <w:autoSpaceDN w:val="0"/>
        <w:spacing w:before="150" w:line="360" w:lineRule="auto"/>
        <w:ind w:right="244" w:firstLine="434" w:firstLineChars="0"/>
        <w:rPr>
          <w:rFonts w:ascii="宋体" w:hAnsi="宋体"/>
          <w:highlight w:val="none"/>
        </w:rPr>
      </w:pPr>
      <w:r>
        <w:rPr>
          <w:rFonts w:ascii="宋体" w:hAnsi="宋体"/>
          <w:spacing w:val="-7"/>
          <w:highlight w:val="none"/>
        </w:rPr>
        <w:t>采购文件要求乙方提交履约保证金的，乙方应按</w:t>
      </w:r>
      <w:r>
        <w:rPr>
          <w:rFonts w:ascii="宋体" w:hAnsi="宋体"/>
          <w:b/>
          <w:highlight w:val="none"/>
          <w:u w:val="single"/>
        </w:rPr>
        <w:t>合同专用条款</w:t>
      </w:r>
      <w:r>
        <w:rPr>
          <w:rFonts w:ascii="宋体" w:hAnsi="宋体"/>
          <w:highlight w:val="none"/>
        </w:rPr>
        <w:t>约定的</w:t>
      </w:r>
      <w:r>
        <w:rPr>
          <w:rFonts w:ascii="宋体" w:hAnsi="宋体"/>
          <w:spacing w:val="-1"/>
          <w:highlight w:val="none"/>
        </w:rPr>
        <w:t xml:space="preserve">方式，以支票、汇票、本票或者金融机构、担保机构出具的保函等非现金形式， </w:t>
      </w:r>
      <w:r>
        <w:rPr>
          <w:rFonts w:ascii="宋体" w:hAnsi="宋体"/>
          <w:spacing w:val="-7"/>
          <w:highlight w:val="none"/>
        </w:rPr>
        <w:t xml:space="preserve">提交不超过合同价 </w:t>
      </w:r>
      <w:r>
        <w:rPr>
          <w:rFonts w:ascii="宋体" w:hAnsi="宋体"/>
          <w:highlight w:val="none"/>
        </w:rPr>
        <w:t>10%的履约保证金；</w:t>
      </w:r>
    </w:p>
    <w:p w14:paraId="76009B35">
      <w:pPr>
        <w:pStyle w:val="26"/>
        <w:numPr>
          <w:ilvl w:val="2"/>
          <w:numId w:val="20"/>
        </w:numPr>
        <w:tabs>
          <w:tab w:val="left" w:pos="1435"/>
          <w:tab w:val="left" w:pos="2980"/>
        </w:tabs>
        <w:autoSpaceDE w:val="0"/>
        <w:autoSpaceDN w:val="0"/>
        <w:spacing w:line="360" w:lineRule="auto"/>
        <w:ind w:right="473" w:firstLine="434" w:firstLineChars="0"/>
        <w:rPr>
          <w:rFonts w:ascii="宋体" w:hAnsi="宋体"/>
          <w:highlight w:val="none"/>
        </w:rPr>
      </w:pPr>
      <w:r>
        <w:rPr>
          <w:rFonts w:ascii="宋体" w:hAnsi="宋体"/>
          <w:highlight w:val="none"/>
        </w:rPr>
        <w:t>履约保证金在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约定期间内不予退还或者应完全有效，前 述约定期间届满之日起</w:t>
      </w:r>
      <w:r>
        <w:rPr>
          <w:rFonts w:ascii="宋体" w:hAnsi="宋体"/>
          <w:highlight w:val="none"/>
          <w:u w:val="single"/>
        </w:rPr>
        <w:t xml:space="preserve"> </w:t>
      </w:r>
      <w:r>
        <w:rPr>
          <w:rFonts w:ascii="宋体" w:hAnsi="宋体"/>
          <w:highlight w:val="none"/>
          <w:u w:val="single"/>
        </w:rPr>
        <w:tab/>
      </w:r>
      <w:r>
        <w:rPr>
          <w:rFonts w:ascii="宋体" w:hAnsi="宋体"/>
          <w:highlight w:val="none"/>
        </w:rPr>
        <w:t>个工作日内，甲方应将履约保证金退还乙方；</w:t>
      </w:r>
    </w:p>
    <w:p w14:paraId="04CECE89">
      <w:pPr>
        <w:pStyle w:val="26"/>
        <w:numPr>
          <w:ilvl w:val="2"/>
          <w:numId w:val="20"/>
        </w:numPr>
        <w:tabs>
          <w:tab w:val="left" w:pos="1435"/>
        </w:tabs>
        <w:autoSpaceDE w:val="0"/>
        <w:autoSpaceDN w:val="0"/>
        <w:spacing w:before="3" w:line="360" w:lineRule="auto"/>
        <w:ind w:right="358" w:firstLine="434" w:firstLineChars="0"/>
        <w:rPr>
          <w:rFonts w:ascii="宋体" w:hAnsi="宋体"/>
          <w:highlight w:val="none"/>
        </w:rPr>
      </w:pPr>
      <w:r>
        <w:rPr>
          <w:rFonts w:ascii="宋体" w:hAnsi="宋体"/>
          <w:spacing w:val="-10"/>
          <w:highlight w:val="none"/>
        </w:rPr>
        <w:t>如果乙方不履行合同，履约保证金不予退还；如果乙方未能按合同约</w:t>
      </w:r>
      <w:r>
        <w:rPr>
          <w:rFonts w:ascii="宋体" w:hAnsi="宋体"/>
          <w:spacing w:val="-9"/>
          <w:highlight w:val="none"/>
        </w:rPr>
        <w:t>定全面履行义务，那么甲方有权从履约保证金中取得补偿或赔偿，同时不影响甲</w:t>
      </w:r>
      <w:r>
        <w:rPr>
          <w:rFonts w:ascii="宋体" w:hAnsi="宋体"/>
          <w:highlight w:val="none"/>
        </w:rPr>
        <w:t>方要求乙方承担合同约定的超过履约保证金的违约责任的权利。</w:t>
      </w:r>
    </w:p>
    <w:p w14:paraId="2D9D471D">
      <w:pPr>
        <w:pStyle w:val="5"/>
        <w:numPr>
          <w:ilvl w:val="1"/>
          <w:numId w:val="20"/>
        </w:numPr>
        <w:tabs>
          <w:tab w:val="left" w:pos="1262"/>
        </w:tabs>
        <w:spacing w:before="2" w:line="360" w:lineRule="auto"/>
        <w:ind w:left="1262" w:hanging="605"/>
        <w:rPr>
          <w:sz w:val="21"/>
          <w:szCs w:val="21"/>
          <w:highlight w:val="none"/>
        </w:rPr>
      </w:pPr>
      <w:r>
        <w:rPr>
          <w:sz w:val="21"/>
          <w:szCs w:val="21"/>
          <w:highlight w:val="none"/>
        </w:rPr>
        <w:t>合同份数</w:t>
      </w:r>
    </w:p>
    <w:p w14:paraId="0A2627C9">
      <w:pPr>
        <w:spacing w:before="150" w:line="360" w:lineRule="auto"/>
        <w:ind w:left="654"/>
        <w:rPr>
          <w:rFonts w:ascii="宋体" w:hAnsi="宋体"/>
          <w:highlight w:val="none"/>
        </w:rPr>
      </w:pPr>
      <w:r>
        <w:rPr>
          <w:rFonts w:ascii="宋体" w:hAnsi="宋体"/>
          <w:highlight w:val="none"/>
        </w:rPr>
        <w:t>合同份数按</w:t>
      </w:r>
      <w:r>
        <w:rPr>
          <w:rFonts w:ascii="宋体" w:hAnsi="宋体"/>
          <w:b/>
          <w:highlight w:val="none"/>
          <w:u w:val="single"/>
        </w:rPr>
        <w:t>合同专用条款</w:t>
      </w:r>
      <w:r>
        <w:rPr>
          <w:rFonts w:ascii="宋体" w:hAnsi="宋体"/>
          <w:highlight w:val="none"/>
        </w:rPr>
        <w:t>规定，每份均具有同等法律效力。</w:t>
      </w:r>
    </w:p>
    <w:p w14:paraId="49E1D16C">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374E2E10">
      <w:pPr>
        <w:pStyle w:val="5"/>
        <w:spacing w:line="360" w:lineRule="auto"/>
        <w:ind w:left="3108"/>
        <w:rPr>
          <w:sz w:val="21"/>
          <w:szCs w:val="21"/>
          <w:highlight w:val="none"/>
        </w:rPr>
      </w:pPr>
      <w:r>
        <w:rPr>
          <w:sz w:val="21"/>
          <w:szCs w:val="21"/>
          <w:highlight w:val="none"/>
        </w:rPr>
        <w:t>第三部分 合同专用条款</w:t>
      </w:r>
    </w:p>
    <w:p w14:paraId="64AA4267">
      <w:pPr>
        <w:pStyle w:val="2"/>
        <w:spacing w:before="160" w:line="360" w:lineRule="auto"/>
        <w:ind w:right="238" w:firstLine="434"/>
        <w:rPr>
          <w:spacing w:val="-7"/>
          <w:sz w:val="21"/>
          <w:szCs w:val="21"/>
          <w:highlight w:val="none"/>
        </w:rPr>
      </w:pPr>
      <w:r>
        <w:rPr>
          <w:sz w:val="21"/>
          <w:szCs w:val="21"/>
          <w:highlight w:val="none"/>
        </w:rPr>
        <w:t xml:space="preserve">本部分是对前两部分的补充和修改，如果前两部分和本部分的约定不一致， </w:t>
      </w:r>
      <w:r>
        <w:rPr>
          <w:spacing w:val="-7"/>
          <w:sz w:val="21"/>
          <w:szCs w:val="21"/>
          <w:highlight w:val="none"/>
        </w:rPr>
        <w:t>应以本部分的约定为准。本部分的条款号应与前两部分的条款号保持对应；与前两部分无对应关系的内容可另行编制</w:t>
      </w:r>
    </w:p>
    <w:p w14:paraId="0D00752A">
      <w:pPr>
        <w:pStyle w:val="2"/>
        <w:spacing w:before="160" w:line="360" w:lineRule="auto"/>
        <w:ind w:right="238" w:firstLine="434"/>
        <w:rPr>
          <w:spacing w:val="-7"/>
          <w:sz w:val="21"/>
          <w:szCs w:val="21"/>
          <w:highlight w:val="none"/>
        </w:rPr>
      </w:pPr>
    </w:p>
    <w:tbl>
      <w:tblPr>
        <w:tblStyle w:val="17"/>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56907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168778AC">
            <w:pPr>
              <w:pStyle w:val="25"/>
              <w:spacing w:before="40"/>
              <w:ind w:left="35"/>
              <w:rPr>
                <w:b/>
                <w:sz w:val="24"/>
                <w:highlight w:val="none"/>
                <w:lang w:eastAsia="en-US"/>
              </w:rPr>
            </w:pPr>
            <w:r>
              <w:rPr>
                <w:b/>
                <w:sz w:val="24"/>
                <w:highlight w:val="none"/>
                <w:lang w:eastAsia="en-US"/>
              </w:rPr>
              <w:t>条款号</w:t>
            </w:r>
          </w:p>
        </w:tc>
        <w:tc>
          <w:tcPr>
            <w:tcW w:w="7571" w:type="dxa"/>
          </w:tcPr>
          <w:p w14:paraId="5EEAAFAC">
            <w:pPr>
              <w:pStyle w:val="25"/>
              <w:spacing w:before="40"/>
              <w:ind w:left="3280" w:right="3271"/>
              <w:jc w:val="center"/>
              <w:rPr>
                <w:b/>
                <w:sz w:val="24"/>
                <w:highlight w:val="none"/>
                <w:lang w:eastAsia="en-US"/>
              </w:rPr>
            </w:pPr>
            <w:r>
              <w:rPr>
                <w:b/>
                <w:sz w:val="24"/>
                <w:highlight w:val="none"/>
                <w:lang w:eastAsia="en-US"/>
              </w:rPr>
              <w:t>约定内容</w:t>
            </w:r>
          </w:p>
        </w:tc>
      </w:tr>
      <w:tr w14:paraId="18364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123898BC">
            <w:pPr>
              <w:pStyle w:val="25"/>
              <w:rPr>
                <w:rFonts w:ascii="Times New Roman"/>
                <w:highlight w:val="none"/>
                <w:lang w:eastAsia="en-US"/>
              </w:rPr>
            </w:pPr>
          </w:p>
        </w:tc>
        <w:tc>
          <w:tcPr>
            <w:tcW w:w="7571" w:type="dxa"/>
          </w:tcPr>
          <w:p w14:paraId="6DB51194">
            <w:pPr>
              <w:pStyle w:val="25"/>
              <w:rPr>
                <w:rFonts w:ascii="Times New Roman"/>
                <w:highlight w:val="none"/>
                <w:lang w:eastAsia="en-US"/>
              </w:rPr>
            </w:pPr>
          </w:p>
        </w:tc>
      </w:tr>
      <w:tr w14:paraId="71F4C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000A8363">
            <w:pPr>
              <w:pStyle w:val="25"/>
              <w:rPr>
                <w:rFonts w:ascii="Times New Roman"/>
                <w:highlight w:val="none"/>
                <w:lang w:eastAsia="en-US"/>
              </w:rPr>
            </w:pPr>
          </w:p>
        </w:tc>
        <w:tc>
          <w:tcPr>
            <w:tcW w:w="7571" w:type="dxa"/>
          </w:tcPr>
          <w:p w14:paraId="6E46FD31">
            <w:pPr>
              <w:pStyle w:val="25"/>
              <w:rPr>
                <w:rFonts w:ascii="Times New Roman"/>
                <w:highlight w:val="none"/>
                <w:lang w:eastAsia="en-US"/>
              </w:rPr>
            </w:pPr>
          </w:p>
        </w:tc>
      </w:tr>
      <w:tr w14:paraId="5006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2B14793">
            <w:pPr>
              <w:pStyle w:val="25"/>
              <w:rPr>
                <w:rFonts w:ascii="Times New Roman"/>
                <w:highlight w:val="none"/>
                <w:lang w:eastAsia="en-US"/>
              </w:rPr>
            </w:pPr>
          </w:p>
        </w:tc>
        <w:tc>
          <w:tcPr>
            <w:tcW w:w="7571" w:type="dxa"/>
          </w:tcPr>
          <w:p w14:paraId="6F8C8B85">
            <w:pPr>
              <w:pStyle w:val="25"/>
              <w:rPr>
                <w:rFonts w:ascii="Times New Roman"/>
                <w:highlight w:val="none"/>
                <w:lang w:eastAsia="en-US"/>
              </w:rPr>
            </w:pPr>
          </w:p>
        </w:tc>
      </w:tr>
      <w:tr w14:paraId="007A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FF2E9E5">
            <w:pPr>
              <w:pStyle w:val="25"/>
              <w:rPr>
                <w:rFonts w:ascii="Times New Roman"/>
                <w:highlight w:val="none"/>
                <w:lang w:eastAsia="en-US"/>
              </w:rPr>
            </w:pPr>
          </w:p>
        </w:tc>
        <w:tc>
          <w:tcPr>
            <w:tcW w:w="7571" w:type="dxa"/>
          </w:tcPr>
          <w:p w14:paraId="04B618F0">
            <w:pPr>
              <w:pStyle w:val="25"/>
              <w:rPr>
                <w:rFonts w:ascii="Times New Roman"/>
                <w:highlight w:val="none"/>
                <w:lang w:eastAsia="en-US"/>
              </w:rPr>
            </w:pPr>
          </w:p>
        </w:tc>
      </w:tr>
      <w:tr w14:paraId="35834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0790DABF">
            <w:pPr>
              <w:pStyle w:val="25"/>
              <w:rPr>
                <w:rFonts w:ascii="Times New Roman"/>
                <w:highlight w:val="none"/>
                <w:lang w:eastAsia="en-US"/>
              </w:rPr>
            </w:pPr>
          </w:p>
        </w:tc>
        <w:tc>
          <w:tcPr>
            <w:tcW w:w="7571" w:type="dxa"/>
          </w:tcPr>
          <w:p w14:paraId="2D40FECB">
            <w:pPr>
              <w:pStyle w:val="25"/>
              <w:rPr>
                <w:rFonts w:ascii="Times New Roman"/>
                <w:highlight w:val="none"/>
                <w:lang w:eastAsia="en-US"/>
              </w:rPr>
            </w:pPr>
          </w:p>
        </w:tc>
      </w:tr>
      <w:tr w14:paraId="505F0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95BFFB2">
            <w:pPr>
              <w:pStyle w:val="25"/>
              <w:rPr>
                <w:rFonts w:ascii="Times New Roman"/>
                <w:highlight w:val="none"/>
                <w:lang w:eastAsia="en-US"/>
              </w:rPr>
            </w:pPr>
          </w:p>
        </w:tc>
        <w:tc>
          <w:tcPr>
            <w:tcW w:w="7571" w:type="dxa"/>
          </w:tcPr>
          <w:p w14:paraId="591745AB">
            <w:pPr>
              <w:pStyle w:val="25"/>
              <w:rPr>
                <w:rFonts w:ascii="Times New Roman"/>
                <w:highlight w:val="none"/>
              </w:rPr>
            </w:pPr>
          </w:p>
        </w:tc>
      </w:tr>
      <w:tr w14:paraId="505E5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6E190C6">
            <w:pPr>
              <w:pStyle w:val="25"/>
              <w:rPr>
                <w:rFonts w:ascii="Times New Roman"/>
                <w:highlight w:val="none"/>
                <w:lang w:eastAsia="en-US"/>
              </w:rPr>
            </w:pPr>
          </w:p>
        </w:tc>
        <w:tc>
          <w:tcPr>
            <w:tcW w:w="7571" w:type="dxa"/>
          </w:tcPr>
          <w:p w14:paraId="2F15D48C">
            <w:pPr>
              <w:pStyle w:val="25"/>
              <w:rPr>
                <w:rFonts w:ascii="Times New Roman"/>
                <w:highlight w:val="none"/>
                <w:lang w:eastAsia="en-US"/>
              </w:rPr>
            </w:pPr>
          </w:p>
        </w:tc>
      </w:tr>
      <w:tr w14:paraId="703FF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2BB8D3EF">
            <w:pPr>
              <w:pStyle w:val="25"/>
              <w:rPr>
                <w:rFonts w:ascii="Times New Roman"/>
                <w:highlight w:val="none"/>
                <w:lang w:eastAsia="en-US"/>
              </w:rPr>
            </w:pPr>
          </w:p>
        </w:tc>
        <w:tc>
          <w:tcPr>
            <w:tcW w:w="7571" w:type="dxa"/>
          </w:tcPr>
          <w:p w14:paraId="27DCD749">
            <w:pPr>
              <w:pStyle w:val="25"/>
              <w:rPr>
                <w:rFonts w:ascii="Times New Roman"/>
                <w:highlight w:val="none"/>
                <w:lang w:eastAsia="en-US"/>
              </w:rPr>
            </w:pPr>
          </w:p>
        </w:tc>
      </w:tr>
      <w:tr w14:paraId="5BB09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230D5CD1">
            <w:pPr>
              <w:pStyle w:val="25"/>
              <w:rPr>
                <w:rFonts w:ascii="Times New Roman"/>
                <w:highlight w:val="none"/>
                <w:lang w:eastAsia="en-US"/>
              </w:rPr>
            </w:pPr>
          </w:p>
        </w:tc>
        <w:tc>
          <w:tcPr>
            <w:tcW w:w="7571" w:type="dxa"/>
          </w:tcPr>
          <w:p w14:paraId="0561AA07">
            <w:pPr>
              <w:pStyle w:val="25"/>
              <w:rPr>
                <w:rFonts w:ascii="Times New Roman"/>
                <w:highlight w:val="none"/>
                <w:lang w:eastAsia="en-US"/>
              </w:rPr>
            </w:pPr>
          </w:p>
        </w:tc>
      </w:tr>
      <w:tr w14:paraId="7D38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172BE20E">
            <w:pPr>
              <w:pStyle w:val="25"/>
              <w:rPr>
                <w:rFonts w:ascii="Times New Roman"/>
                <w:highlight w:val="none"/>
                <w:lang w:eastAsia="en-US"/>
              </w:rPr>
            </w:pPr>
          </w:p>
        </w:tc>
        <w:tc>
          <w:tcPr>
            <w:tcW w:w="7571" w:type="dxa"/>
          </w:tcPr>
          <w:p w14:paraId="65558D69">
            <w:pPr>
              <w:pStyle w:val="25"/>
              <w:rPr>
                <w:rFonts w:ascii="Times New Roman"/>
                <w:highlight w:val="none"/>
                <w:lang w:eastAsia="en-US"/>
              </w:rPr>
            </w:pPr>
          </w:p>
        </w:tc>
      </w:tr>
      <w:tr w14:paraId="3A107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57DCD3CA">
            <w:pPr>
              <w:pStyle w:val="25"/>
              <w:rPr>
                <w:rFonts w:ascii="Times New Roman"/>
                <w:highlight w:val="none"/>
                <w:lang w:eastAsia="en-US"/>
              </w:rPr>
            </w:pPr>
          </w:p>
        </w:tc>
        <w:tc>
          <w:tcPr>
            <w:tcW w:w="7571" w:type="dxa"/>
          </w:tcPr>
          <w:p w14:paraId="50BF867D">
            <w:pPr>
              <w:pStyle w:val="25"/>
              <w:rPr>
                <w:rFonts w:ascii="Times New Roman"/>
                <w:highlight w:val="none"/>
                <w:lang w:eastAsia="en-US"/>
              </w:rPr>
            </w:pPr>
          </w:p>
        </w:tc>
      </w:tr>
      <w:tr w14:paraId="517D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79D527EA">
            <w:pPr>
              <w:pStyle w:val="25"/>
              <w:rPr>
                <w:rFonts w:ascii="Times New Roman"/>
                <w:highlight w:val="none"/>
              </w:rPr>
            </w:pPr>
          </w:p>
          <w:p w14:paraId="2F1DF12A">
            <w:pPr>
              <w:pStyle w:val="25"/>
              <w:rPr>
                <w:rFonts w:ascii="Times New Roman"/>
                <w:highlight w:val="none"/>
              </w:rPr>
            </w:pPr>
          </w:p>
          <w:p w14:paraId="66CC2C01">
            <w:pPr>
              <w:pStyle w:val="25"/>
              <w:rPr>
                <w:rFonts w:ascii="Times New Roman"/>
                <w:highlight w:val="none"/>
              </w:rPr>
            </w:pPr>
          </w:p>
        </w:tc>
        <w:tc>
          <w:tcPr>
            <w:tcW w:w="7571" w:type="dxa"/>
          </w:tcPr>
          <w:p w14:paraId="6798BEAE">
            <w:pPr>
              <w:pStyle w:val="25"/>
              <w:rPr>
                <w:rFonts w:ascii="Times New Roman"/>
                <w:highlight w:val="none"/>
                <w:lang w:eastAsia="en-US"/>
              </w:rPr>
            </w:pPr>
          </w:p>
        </w:tc>
      </w:tr>
    </w:tbl>
    <w:p w14:paraId="1A65701A">
      <w:pPr>
        <w:pStyle w:val="3"/>
        <w:tabs>
          <w:tab w:val="left" w:pos="1125"/>
        </w:tabs>
        <w:ind w:right="136"/>
        <w:jc w:val="center"/>
        <w:rPr>
          <w:rFonts w:ascii="宋体" w:hAnsi="宋体"/>
          <w:sz w:val="32"/>
          <w:szCs w:val="32"/>
          <w:highlight w:val="none"/>
        </w:rPr>
      </w:pPr>
    </w:p>
    <w:p w14:paraId="78A8A736">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68D5CAAD">
      <w:pPr>
        <w:pStyle w:val="3"/>
        <w:numPr>
          <w:ilvl w:val="0"/>
          <w:numId w:val="1"/>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62" w:name="_Toc19729"/>
      <w:r>
        <w:rPr>
          <w:rFonts w:hint="eastAsia" w:ascii="宋体" w:hAnsi="宋体"/>
          <w:sz w:val="32"/>
          <w:szCs w:val="32"/>
          <w:highlight w:val="none"/>
        </w:rPr>
        <w:t>响应文件格式</w:t>
      </w:r>
      <w:bookmarkEnd w:id="62"/>
    </w:p>
    <w:p w14:paraId="5481682D">
      <w:pPr>
        <w:rPr>
          <w:rFonts w:hint="eastAsia" w:ascii="宋体" w:hAnsi="宋体"/>
          <w:sz w:val="32"/>
          <w:szCs w:val="32"/>
          <w:highlight w:val="none"/>
        </w:rPr>
      </w:pPr>
    </w:p>
    <w:p w14:paraId="643BC625">
      <w:pPr>
        <w:pStyle w:val="16"/>
        <w:rPr>
          <w:rFonts w:hint="eastAsia" w:ascii="宋体" w:hAnsi="宋体"/>
          <w:sz w:val="32"/>
          <w:szCs w:val="32"/>
          <w:highlight w:val="none"/>
        </w:rPr>
      </w:pPr>
    </w:p>
    <w:p w14:paraId="07AF8610">
      <w:pPr>
        <w:rPr>
          <w:rFonts w:hint="eastAsia" w:ascii="宋体" w:hAnsi="宋体"/>
          <w:sz w:val="32"/>
          <w:szCs w:val="32"/>
          <w:highlight w:val="none"/>
        </w:rPr>
      </w:pPr>
    </w:p>
    <w:p w14:paraId="50FE8A1A">
      <w:pPr>
        <w:pStyle w:val="16"/>
        <w:rPr>
          <w:rFonts w:hint="eastAsia"/>
          <w:highlight w:val="none"/>
        </w:rPr>
      </w:pPr>
    </w:p>
    <w:p w14:paraId="36388FBF">
      <w:pPr>
        <w:jc w:val="center"/>
        <w:rPr>
          <w:rFonts w:ascii="宋体" w:hAnsi="宋体" w:cs="Arial"/>
          <w:sz w:val="28"/>
          <w:szCs w:val="28"/>
          <w:highlight w:val="none"/>
        </w:rPr>
      </w:pPr>
      <w:bookmarkStart w:id="63" w:name="_Toc32338_WPSOffice_Level1"/>
      <w:bookmarkStart w:id="64" w:name="_Toc13756_WPSOffice_Level1"/>
      <w:r>
        <w:rPr>
          <w:rFonts w:hint="eastAsia" w:ascii="宋体" w:hAnsi="宋体"/>
          <w:sz w:val="28"/>
          <w:szCs w:val="28"/>
          <w:highlight w:val="none"/>
          <w:u w:val="single"/>
        </w:rPr>
        <w:t>（项目名称）</w:t>
      </w:r>
      <w:bookmarkEnd w:id="63"/>
      <w:bookmarkEnd w:id="64"/>
    </w:p>
    <w:p w14:paraId="65EC6442">
      <w:pPr>
        <w:jc w:val="center"/>
        <w:rPr>
          <w:rFonts w:ascii="宋体" w:hAnsi="宋体" w:cs="Arial"/>
          <w:b/>
          <w:sz w:val="28"/>
          <w:szCs w:val="28"/>
          <w:highlight w:val="none"/>
        </w:rPr>
      </w:pPr>
      <w:bookmarkStart w:id="65" w:name="_Hlk450146333"/>
    </w:p>
    <w:p w14:paraId="6266C066">
      <w:pPr>
        <w:jc w:val="center"/>
        <w:rPr>
          <w:rFonts w:ascii="宋体" w:hAnsi="宋体" w:cs="Arial"/>
          <w:sz w:val="28"/>
          <w:szCs w:val="28"/>
          <w:highlight w:val="none"/>
        </w:rPr>
      </w:pPr>
      <w:bookmarkStart w:id="66" w:name="_Toc361_WPSOffice_Level1"/>
      <w:bookmarkStart w:id="67" w:name="_Toc18887_WPSOffice_Level1"/>
      <w:r>
        <w:rPr>
          <w:rFonts w:hint="eastAsia" w:ascii="宋体" w:hAnsi="宋体" w:cs="Arial"/>
          <w:sz w:val="28"/>
          <w:szCs w:val="28"/>
          <w:highlight w:val="none"/>
        </w:rPr>
        <w:t xml:space="preserve">响 应 </w:t>
      </w:r>
      <w:bookmarkEnd w:id="65"/>
      <w:r>
        <w:rPr>
          <w:rFonts w:hint="eastAsia" w:ascii="宋体" w:hAnsi="宋体" w:cs="Arial"/>
          <w:sz w:val="28"/>
          <w:szCs w:val="28"/>
          <w:highlight w:val="none"/>
        </w:rPr>
        <w:t>文 件</w:t>
      </w:r>
      <w:bookmarkEnd w:id="66"/>
      <w:bookmarkEnd w:id="67"/>
    </w:p>
    <w:p w14:paraId="5DE9C0ED">
      <w:pPr>
        <w:rPr>
          <w:rFonts w:ascii="宋体" w:hAnsi="宋体" w:cs="Arial"/>
          <w:sz w:val="28"/>
          <w:szCs w:val="28"/>
          <w:highlight w:val="none"/>
        </w:rPr>
      </w:pPr>
      <w:r>
        <w:rPr>
          <w:rFonts w:hint="eastAsia" w:ascii="宋体" w:hAnsi="宋体" w:cs="Arial"/>
          <w:sz w:val="28"/>
          <w:szCs w:val="28"/>
          <w:highlight w:val="none"/>
        </w:rPr>
        <w:t xml:space="preserve">               </w:t>
      </w:r>
    </w:p>
    <w:p w14:paraId="72BA0FAE">
      <w:pPr>
        <w:ind w:firstLine="1120" w:firstLineChars="400"/>
        <w:rPr>
          <w:rFonts w:ascii="宋体" w:hAnsi="宋体" w:cs="Arial"/>
          <w:sz w:val="28"/>
          <w:szCs w:val="28"/>
          <w:highlight w:val="none"/>
        </w:rPr>
      </w:pPr>
      <w:r>
        <w:rPr>
          <w:rFonts w:hint="eastAsia" w:ascii="宋体" w:hAnsi="宋体" w:cs="Arial"/>
          <w:sz w:val="28"/>
          <w:szCs w:val="28"/>
          <w:highlight w:val="none"/>
        </w:rPr>
        <w:t>项目编号：</w:t>
      </w:r>
      <w:r>
        <w:rPr>
          <w:rFonts w:hint="eastAsia" w:ascii="宋体" w:hAnsi="宋体" w:cs="Arial"/>
          <w:sz w:val="28"/>
          <w:szCs w:val="28"/>
          <w:highlight w:val="none"/>
          <w:u w:val="single"/>
        </w:rPr>
        <w:t xml:space="preserve">                         </w:t>
      </w:r>
    </w:p>
    <w:p w14:paraId="716F32D6">
      <w:pPr>
        <w:jc w:val="center"/>
        <w:rPr>
          <w:rFonts w:ascii="宋体" w:hAnsi="宋体" w:cs="Arial"/>
          <w:sz w:val="28"/>
          <w:szCs w:val="28"/>
          <w:highlight w:val="none"/>
        </w:rPr>
      </w:pPr>
    </w:p>
    <w:p w14:paraId="7E35D765">
      <w:pPr>
        <w:jc w:val="center"/>
        <w:rPr>
          <w:rFonts w:ascii="宋体" w:hAnsi="宋体" w:cs="Arial"/>
          <w:sz w:val="28"/>
          <w:szCs w:val="28"/>
          <w:highlight w:val="none"/>
        </w:rPr>
      </w:pPr>
    </w:p>
    <w:p w14:paraId="337E3070">
      <w:pPr>
        <w:ind w:firstLine="1120" w:firstLineChars="400"/>
        <w:rPr>
          <w:rFonts w:ascii="宋体" w:hAnsi="宋体"/>
          <w:sz w:val="28"/>
          <w:szCs w:val="28"/>
          <w:highlight w:val="none"/>
          <w:u w:val="single"/>
        </w:rPr>
      </w:pPr>
      <w:bookmarkStart w:id="68" w:name="_Toc13389_WPSOffice_Level1"/>
      <w:bookmarkStart w:id="69" w:name="_Toc4204_WPSOffice_Level1"/>
      <w:r>
        <w:rPr>
          <w:rFonts w:hint="eastAsia" w:ascii="宋体" w:hAnsi="宋体" w:cs="Arial"/>
          <w:sz w:val="28"/>
          <w:szCs w:val="28"/>
          <w:highlight w:val="none"/>
        </w:rPr>
        <w:t>采购人：</w:t>
      </w:r>
      <w:bookmarkEnd w:id="68"/>
      <w:bookmarkEnd w:id="69"/>
      <w:r>
        <w:rPr>
          <w:rFonts w:hint="eastAsia" w:ascii="宋体" w:hAnsi="宋体"/>
          <w:sz w:val="28"/>
          <w:szCs w:val="28"/>
          <w:highlight w:val="none"/>
          <w:u w:val="single"/>
        </w:rPr>
        <w:t xml:space="preserve">                               </w:t>
      </w:r>
    </w:p>
    <w:p w14:paraId="64C186BF">
      <w:pPr>
        <w:ind w:firstLine="1540" w:firstLineChars="550"/>
        <w:rPr>
          <w:rFonts w:ascii="宋体" w:hAnsi="宋体" w:cs="Arial"/>
          <w:sz w:val="28"/>
          <w:szCs w:val="28"/>
          <w:highlight w:val="none"/>
        </w:rPr>
      </w:pPr>
    </w:p>
    <w:p w14:paraId="0627E302">
      <w:pPr>
        <w:spacing w:line="460" w:lineRule="exact"/>
        <w:ind w:firstLine="1120" w:firstLineChars="400"/>
        <w:rPr>
          <w:rFonts w:ascii="宋体" w:hAnsi="宋体"/>
          <w:sz w:val="28"/>
          <w:szCs w:val="28"/>
          <w:highlight w:val="none"/>
        </w:rPr>
      </w:pPr>
      <w:bookmarkStart w:id="70" w:name="_Toc22977_WPSOffice_Level1"/>
      <w:bookmarkStart w:id="71" w:name="_Toc23736_WPSOffice_Level1"/>
      <w:r>
        <w:rPr>
          <w:rFonts w:hint="eastAsia" w:ascii="宋体" w:hAnsi="宋体"/>
          <w:sz w:val="28"/>
          <w:szCs w:val="28"/>
          <w:highlight w:val="none"/>
        </w:rPr>
        <w:t>供应商公章：</w:t>
      </w:r>
      <w:r>
        <w:rPr>
          <w:rFonts w:hint="eastAsia" w:ascii="宋体" w:hAnsi="宋体"/>
          <w:sz w:val="28"/>
          <w:szCs w:val="28"/>
          <w:highlight w:val="none"/>
          <w:u w:val="single"/>
        </w:rPr>
        <w:t xml:space="preserve">                             </w:t>
      </w:r>
      <w:bookmarkEnd w:id="70"/>
      <w:bookmarkEnd w:id="71"/>
    </w:p>
    <w:p w14:paraId="1034C144">
      <w:pPr>
        <w:spacing w:line="460" w:lineRule="exact"/>
        <w:ind w:firstLine="854" w:firstLineChars="305"/>
        <w:rPr>
          <w:rFonts w:ascii="宋体" w:hAnsi="宋体"/>
          <w:sz w:val="28"/>
          <w:szCs w:val="28"/>
          <w:highlight w:val="none"/>
          <w:u w:val="single"/>
        </w:rPr>
      </w:pPr>
    </w:p>
    <w:p w14:paraId="240C3D8C">
      <w:pPr>
        <w:spacing w:line="460" w:lineRule="exact"/>
        <w:ind w:firstLine="854" w:firstLineChars="305"/>
        <w:rPr>
          <w:rFonts w:ascii="宋体" w:hAnsi="宋体"/>
          <w:sz w:val="28"/>
          <w:szCs w:val="28"/>
          <w:highlight w:val="none"/>
          <w:u w:val="single"/>
        </w:rPr>
      </w:pPr>
      <w:r>
        <w:rPr>
          <w:rFonts w:hint="eastAsia" w:ascii="宋体" w:hAnsi="宋体"/>
          <w:sz w:val="28"/>
          <w:szCs w:val="28"/>
          <w:highlight w:val="none"/>
        </w:rPr>
        <w:t xml:space="preserve">  </w:t>
      </w:r>
      <w:bookmarkStart w:id="72" w:name="_Toc22449_WPSOffice_Level1"/>
      <w:bookmarkStart w:id="73" w:name="_Toc7448_WPSOffice_Level1"/>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bookmarkEnd w:id="72"/>
      <w:bookmarkEnd w:id="73"/>
    </w:p>
    <w:p w14:paraId="2627A019">
      <w:pPr>
        <w:spacing w:line="460" w:lineRule="exact"/>
        <w:rPr>
          <w:rFonts w:ascii="宋体" w:hAnsi="宋体"/>
          <w:sz w:val="28"/>
          <w:szCs w:val="28"/>
          <w:highlight w:val="none"/>
        </w:rPr>
      </w:pPr>
    </w:p>
    <w:p w14:paraId="0C839318">
      <w:pPr>
        <w:spacing w:line="460" w:lineRule="exact"/>
        <w:ind w:firstLine="435"/>
        <w:rPr>
          <w:rFonts w:ascii="宋体" w:hAnsi="宋体"/>
          <w:sz w:val="28"/>
          <w:szCs w:val="28"/>
          <w:highlight w:val="none"/>
        </w:rPr>
      </w:pPr>
    </w:p>
    <w:p w14:paraId="60BA1FD5">
      <w:pPr>
        <w:spacing w:line="460" w:lineRule="exact"/>
        <w:ind w:firstLine="435"/>
        <w:jc w:val="center"/>
        <w:rPr>
          <w:rFonts w:ascii="宋体" w:hAnsi="宋体"/>
          <w:sz w:val="28"/>
          <w:szCs w:val="28"/>
          <w:highlight w:val="none"/>
        </w:rPr>
      </w:pPr>
    </w:p>
    <w:p w14:paraId="7C57F058">
      <w:pPr>
        <w:spacing w:line="460" w:lineRule="exact"/>
        <w:ind w:firstLine="435"/>
        <w:jc w:val="center"/>
        <w:rPr>
          <w:rFonts w:ascii="宋体" w:hAnsi="宋体"/>
          <w:sz w:val="28"/>
          <w:szCs w:val="28"/>
          <w:highlight w:val="none"/>
        </w:rPr>
      </w:pPr>
    </w:p>
    <w:p w14:paraId="001284ED">
      <w:pPr>
        <w:spacing w:line="460" w:lineRule="exact"/>
        <w:ind w:firstLine="435"/>
        <w:jc w:val="center"/>
        <w:rPr>
          <w:rFonts w:ascii="宋体" w:hAnsi="宋体"/>
          <w:sz w:val="28"/>
          <w:szCs w:val="28"/>
          <w:highlight w:val="none"/>
        </w:rPr>
      </w:pPr>
    </w:p>
    <w:p w14:paraId="281BCA73">
      <w:pPr>
        <w:spacing w:line="460" w:lineRule="exact"/>
        <w:ind w:firstLine="435"/>
        <w:jc w:val="center"/>
        <w:rPr>
          <w:rFonts w:ascii="宋体" w:hAnsi="宋体"/>
          <w:sz w:val="28"/>
          <w:szCs w:val="28"/>
          <w:highlight w:val="none"/>
        </w:rPr>
      </w:pPr>
      <w:bookmarkStart w:id="74" w:name="_Toc11712_WPSOffice_Level2"/>
      <w:bookmarkStart w:id="75" w:name="_Toc17804_WPSOffice_Level2"/>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End w:id="74"/>
      <w:bookmarkEnd w:id="75"/>
    </w:p>
    <w:p w14:paraId="36A84662">
      <w:pPr>
        <w:tabs>
          <w:tab w:val="left" w:pos="645"/>
          <w:tab w:val="left" w:pos="1286"/>
          <w:tab w:val="left" w:pos="1929"/>
        </w:tabs>
        <w:spacing w:before="54"/>
        <w:ind w:right="135"/>
        <w:jc w:val="center"/>
        <w:rPr>
          <w:rFonts w:ascii="宋体" w:hAnsi="宋体"/>
          <w:b/>
          <w:sz w:val="28"/>
          <w:szCs w:val="28"/>
          <w:highlight w:val="none"/>
        </w:rPr>
      </w:pPr>
    </w:p>
    <w:p w14:paraId="3D45204D">
      <w:pPr>
        <w:jc w:val="center"/>
        <w:rPr>
          <w:rFonts w:ascii="宋体" w:hAnsi="宋体"/>
          <w:sz w:val="28"/>
          <w:szCs w:val="28"/>
          <w:highlight w:val="none"/>
        </w:rPr>
        <w:sectPr>
          <w:pgSz w:w="11910" w:h="16840"/>
          <w:pgMar w:top="1400" w:right="1440" w:bottom="1220" w:left="1580" w:header="877" w:footer="1033" w:gutter="0"/>
          <w:pgNumType w:fmt="decimal"/>
          <w:cols w:space="720" w:num="1"/>
        </w:sectPr>
      </w:pPr>
    </w:p>
    <w:p w14:paraId="66303A97">
      <w:pPr>
        <w:jc w:val="center"/>
        <w:outlineLvl w:val="2"/>
        <w:rPr>
          <w:b/>
          <w:sz w:val="28"/>
          <w:szCs w:val="28"/>
          <w:highlight w:val="none"/>
        </w:rPr>
      </w:pPr>
      <w:r>
        <w:rPr>
          <w:b/>
          <w:sz w:val="28"/>
          <w:szCs w:val="28"/>
          <w:highlight w:val="none"/>
        </w:rPr>
        <w:t>一、报价表格式</w:t>
      </w:r>
    </w:p>
    <w:p w14:paraId="401A038C">
      <w:pPr>
        <w:autoSpaceDE w:val="0"/>
        <w:autoSpaceDN w:val="0"/>
        <w:spacing w:before="240" w:beforeLines="100" w:line="360" w:lineRule="auto"/>
        <w:ind w:left="82" w:leftChars="39" w:firstLine="211" w:firstLineChars="100"/>
        <w:jc w:val="left"/>
        <w:outlineLvl w:val="3"/>
        <w:rPr>
          <w:rFonts w:ascii="宋体" w:hAnsi="宋体" w:cs="宋体"/>
          <w:b/>
          <w:kern w:val="0"/>
          <w:highlight w:val="none"/>
          <w:lang w:val="zh-CN" w:bidi="zh-CN"/>
        </w:rPr>
      </w:pPr>
      <w:r>
        <w:rPr>
          <w:rFonts w:hint="eastAsia" w:ascii="宋体" w:hAnsi="宋体" w:cs="宋体"/>
          <w:b/>
          <w:kern w:val="0"/>
          <w:highlight w:val="none"/>
          <w:lang w:val="zh-CN" w:bidi="zh-CN"/>
        </w:rPr>
        <w:t xml:space="preserve">1-1 </w:t>
      </w:r>
      <w:r>
        <w:rPr>
          <w:rFonts w:ascii="宋体" w:hAnsi="宋体" w:cs="宋体"/>
          <w:b/>
          <w:kern w:val="0"/>
          <w:highlight w:val="none"/>
          <w:lang w:val="zh-CN" w:bidi="zh-CN"/>
        </w:rPr>
        <w:t>报价表</w:t>
      </w:r>
    </w:p>
    <w:p w14:paraId="516A3917">
      <w:pPr>
        <w:autoSpaceDE w:val="0"/>
        <w:autoSpaceDN w:val="0"/>
        <w:spacing w:line="360" w:lineRule="auto"/>
        <w:ind w:left="29" w:leftChars="14" w:firstLine="211" w:firstLineChars="100"/>
        <w:jc w:val="left"/>
        <w:rPr>
          <w:rFonts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1B34D63A">
      <w:pPr>
        <w:autoSpaceDE w:val="0"/>
        <w:autoSpaceDN w:val="0"/>
        <w:spacing w:line="360" w:lineRule="auto"/>
        <w:ind w:left="29" w:leftChars="14" w:firstLine="211" w:firstLineChars="100"/>
        <w:jc w:val="left"/>
        <w:rPr>
          <w:b/>
          <w:sz w:val="21"/>
          <w:szCs w:val="21"/>
          <w:highlight w:val="none"/>
        </w:rPr>
      </w:pPr>
      <w:r>
        <w:rPr>
          <w:rFonts w:ascii="宋体" w:hAnsi="宋体" w:cs="宋体"/>
          <w:b/>
          <w:kern w:val="0"/>
          <w:highlight w:val="none"/>
          <w:lang w:val="zh-CN" w:bidi="zh-CN"/>
        </w:rPr>
        <w:t>项目编号：</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hint="eastAsia" w:ascii="宋体" w:hAnsi="宋体" w:cs="宋体"/>
          <w:b/>
          <w:kern w:val="0"/>
          <w:highlight w:val="none"/>
          <w:u w:val="singl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4627D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4626D768">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28CD2FFC">
            <w:pPr>
              <w:pStyle w:val="25"/>
              <w:spacing w:line="360" w:lineRule="auto"/>
              <w:rPr>
                <w:sz w:val="21"/>
                <w:szCs w:val="21"/>
                <w:highlight w:val="none"/>
                <w:lang w:eastAsia="en-US"/>
              </w:rPr>
            </w:pPr>
          </w:p>
        </w:tc>
      </w:tr>
      <w:tr w14:paraId="672DC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72676A94">
            <w:pPr>
              <w:pStyle w:val="25"/>
              <w:spacing w:before="11" w:line="360" w:lineRule="auto"/>
              <w:rPr>
                <w:b/>
                <w:sz w:val="21"/>
                <w:szCs w:val="21"/>
                <w:highlight w:val="none"/>
                <w:lang w:eastAsia="en-US"/>
              </w:rPr>
            </w:pPr>
          </w:p>
          <w:p w14:paraId="7CA8B321">
            <w:pPr>
              <w:pStyle w:val="25"/>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0D5B06CE">
            <w:pPr>
              <w:pStyle w:val="25"/>
              <w:spacing w:before="11" w:line="360" w:lineRule="auto"/>
              <w:rPr>
                <w:b/>
                <w:sz w:val="21"/>
                <w:szCs w:val="21"/>
                <w:highlight w:val="none"/>
                <w:lang w:eastAsia="en-US"/>
              </w:rPr>
            </w:pPr>
          </w:p>
          <w:p w14:paraId="50F608F2">
            <w:pPr>
              <w:pStyle w:val="25"/>
              <w:tabs>
                <w:tab w:val="left" w:pos="1547"/>
              </w:tabs>
              <w:spacing w:line="360" w:lineRule="auto"/>
              <w:ind w:left="107"/>
              <w:rPr>
                <w:sz w:val="21"/>
                <w:szCs w:val="21"/>
                <w:highlight w:val="none"/>
                <w:lang w:eastAsia="en-US"/>
              </w:rPr>
            </w:pPr>
            <w:r>
              <w:rPr>
                <w:sz w:val="21"/>
                <w:szCs w:val="21"/>
                <w:highlight w:val="none"/>
                <w:lang w:eastAsia="en-US"/>
              </w:rPr>
              <w:t xml:space="preserve">全部 </w:t>
            </w:r>
          </w:p>
        </w:tc>
      </w:tr>
      <w:tr w14:paraId="428B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6CBED287">
            <w:pPr>
              <w:pStyle w:val="25"/>
              <w:spacing w:before="7" w:line="360" w:lineRule="auto"/>
              <w:rPr>
                <w:b/>
                <w:sz w:val="21"/>
                <w:szCs w:val="21"/>
                <w:highlight w:val="none"/>
              </w:rPr>
            </w:pPr>
          </w:p>
          <w:p w14:paraId="58B83675">
            <w:pPr>
              <w:pStyle w:val="25"/>
              <w:spacing w:line="360" w:lineRule="auto"/>
              <w:ind w:left="245" w:right="235"/>
              <w:jc w:val="center"/>
              <w:rPr>
                <w:b/>
                <w:sz w:val="21"/>
                <w:szCs w:val="21"/>
                <w:highlight w:val="none"/>
              </w:rPr>
            </w:pPr>
            <w:r>
              <w:rPr>
                <w:b/>
                <w:sz w:val="21"/>
                <w:szCs w:val="21"/>
                <w:highlight w:val="none"/>
              </w:rPr>
              <w:t>报价</w:t>
            </w:r>
          </w:p>
          <w:p w14:paraId="0F625440">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19BF4D2F">
            <w:pPr>
              <w:pStyle w:val="25"/>
              <w:spacing w:line="360" w:lineRule="auto"/>
              <w:rPr>
                <w:b/>
                <w:sz w:val="21"/>
                <w:szCs w:val="21"/>
                <w:highlight w:val="none"/>
              </w:rPr>
            </w:pPr>
          </w:p>
          <w:p w14:paraId="6D5C4A06">
            <w:pPr>
              <w:pStyle w:val="25"/>
              <w:spacing w:before="9" w:line="360" w:lineRule="auto"/>
              <w:rPr>
                <w:b/>
                <w:sz w:val="21"/>
                <w:szCs w:val="21"/>
                <w:highlight w:val="none"/>
              </w:rPr>
            </w:pPr>
          </w:p>
          <w:p w14:paraId="22FFAC2A">
            <w:pPr>
              <w:pStyle w:val="25"/>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金额</w:t>
            </w:r>
            <w:r>
              <w:rPr>
                <w:rFonts w:hint="eastAsia"/>
                <w:highlight w:val="none"/>
              </w:rPr>
              <w:t>（大写）</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u w:val="single"/>
                <w:lang w:val="en-US" w:eastAsia="zh-CN"/>
              </w:rPr>
              <w:t xml:space="preserve">  元</w:t>
            </w:r>
            <w:r>
              <w:rPr>
                <w:highlight w:val="none"/>
                <w:u w:val="single"/>
              </w:rPr>
              <w:t xml:space="preserve"> </w:t>
            </w:r>
            <w:r>
              <w:rPr>
                <w:rFonts w:hint="eastAsia"/>
                <w:highlight w:val="none"/>
              </w:rPr>
              <w:t>（小写</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u w:val="single"/>
                <w:lang w:val="en-US" w:eastAsia="zh-CN"/>
              </w:rPr>
              <w:t>元</w:t>
            </w:r>
            <w:r>
              <w:rPr>
                <w:rFonts w:hint="eastAsia"/>
                <w:highlight w:val="none"/>
              </w:rPr>
              <w:t>）</w:t>
            </w:r>
          </w:p>
        </w:tc>
      </w:tr>
      <w:tr w14:paraId="43F5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7E3B5D97">
            <w:pPr>
              <w:pStyle w:val="25"/>
              <w:spacing w:line="360" w:lineRule="auto"/>
              <w:rPr>
                <w:b/>
                <w:sz w:val="21"/>
                <w:szCs w:val="21"/>
                <w:highlight w:val="none"/>
              </w:rPr>
            </w:pPr>
          </w:p>
          <w:p w14:paraId="4370D4EC">
            <w:pPr>
              <w:pStyle w:val="25"/>
              <w:spacing w:line="360" w:lineRule="auto"/>
              <w:rPr>
                <w:b/>
                <w:sz w:val="21"/>
                <w:szCs w:val="21"/>
                <w:highlight w:val="none"/>
              </w:rPr>
            </w:pPr>
          </w:p>
          <w:p w14:paraId="7C30BA7C">
            <w:pPr>
              <w:pStyle w:val="25"/>
              <w:spacing w:line="360" w:lineRule="auto"/>
              <w:rPr>
                <w:b/>
                <w:sz w:val="21"/>
                <w:szCs w:val="21"/>
                <w:highlight w:val="none"/>
              </w:rPr>
            </w:pPr>
          </w:p>
          <w:p w14:paraId="2DCD05E0">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7BAFD39A">
            <w:pPr>
              <w:pStyle w:val="25"/>
              <w:spacing w:line="360" w:lineRule="auto"/>
              <w:rPr>
                <w:sz w:val="21"/>
                <w:szCs w:val="21"/>
                <w:highlight w:val="none"/>
                <w:lang w:eastAsia="en-US"/>
              </w:rPr>
            </w:pPr>
          </w:p>
        </w:tc>
      </w:tr>
    </w:tbl>
    <w:p w14:paraId="45BD4246">
      <w:pPr>
        <w:pStyle w:val="2"/>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293F842D">
      <w:pPr>
        <w:pStyle w:val="2"/>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0BB16567">
      <w:pPr>
        <w:pStyle w:val="2"/>
        <w:tabs>
          <w:tab w:val="left" w:pos="6705"/>
        </w:tabs>
        <w:spacing w:line="360" w:lineRule="auto"/>
        <w:ind w:right="1223" w:firstLine="4620" w:firstLineChars="2200"/>
        <w:rPr>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36E290ED">
      <w:pPr>
        <w:autoSpaceDE w:val="0"/>
        <w:autoSpaceDN w:val="0"/>
        <w:spacing w:before="120" w:beforeLines="50" w:after="120" w:afterLines="50" w:line="360" w:lineRule="auto"/>
        <w:ind w:right="210" w:rightChars="100"/>
        <w:jc w:val="left"/>
        <w:rPr>
          <w:rFonts w:ascii="宋体" w:hAnsi="宋体" w:cs="宋体"/>
          <w:b/>
          <w:kern w:val="0"/>
          <w:highlight w:val="none"/>
          <w:lang w:val="zh-CN" w:bidi="zh-CN"/>
        </w:rPr>
      </w:pPr>
      <w:r>
        <w:rPr>
          <w:rFonts w:ascii="宋体" w:hAnsi="宋体" w:cs="宋体"/>
          <w:b/>
          <w:kern w:val="0"/>
          <w:highlight w:val="none"/>
          <w:lang w:val="zh-CN" w:bidi="zh-CN"/>
        </w:rPr>
        <w:t>注：</w:t>
      </w:r>
    </w:p>
    <w:p w14:paraId="2C18FBEE">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1、</w:t>
      </w:r>
      <w:r>
        <w:rPr>
          <w:rFonts w:ascii="宋体" w:hAnsi="宋体" w:cs="宋体"/>
          <w:b/>
          <w:kern w:val="0"/>
          <w:highlight w:val="none"/>
          <w:lang w:val="zh-CN" w:bidi="zh-CN"/>
        </w:rPr>
        <w:t>本表内容根据磋商文件要求</w:t>
      </w:r>
      <w:r>
        <w:rPr>
          <w:rFonts w:hint="eastAsia" w:ascii="宋体" w:hAnsi="宋体" w:cs="宋体"/>
          <w:b/>
          <w:kern w:val="0"/>
          <w:highlight w:val="none"/>
          <w:lang w:val="zh-CN" w:bidi="zh-CN"/>
        </w:rPr>
        <w:t>包括了服务保障等所有费用</w:t>
      </w:r>
      <w:r>
        <w:rPr>
          <w:rFonts w:ascii="宋体" w:hAnsi="宋体" w:cs="宋体"/>
          <w:b/>
          <w:kern w:val="0"/>
          <w:highlight w:val="none"/>
          <w:lang w:val="zh-CN" w:bidi="zh-CN"/>
        </w:rPr>
        <w:t>售后服务保障等所有费用。</w:t>
      </w:r>
    </w:p>
    <w:p w14:paraId="5C42FEA9">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2、</w:t>
      </w:r>
      <w:r>
        <w:rPr>
          <w:rFonts w:ascii="宋体" w:hAnsi="宋体" w:cs="宋体"/>
          <w:b/>
          <w:kern w:val="0"/>
          <w:highlight w:val="none"/>
          <w:lang w:val="zh-CN" w:bidi="zh-CN"/>
        </w:rPr>
        <w:t>特殊事项在备注中注明。</w:t>
      </w:r>
    </w:p>
    <w:p w14:paraId="6FD542A9">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3、</w:t>
      </w:r>
      <w:r>
        <w:rPr>
          <w:rFonts w:ascii="宋体" w:hAnsi="宋体" w:cs="宋体"/>
          <w:b/>
          <w:kern w:val="0"/>
          <w:highlight w:val="none"/>
          <w:lang w:val="zh-CN" w:bidi="zh-CN"/>
        </w:rPr>
        <w:t>供应商应根据其响应文件中报价表的内容填写唱标信息，唱标信息不作为评审的依据。唱标信息与报价表不一致的，以报价表为准。</w:t>
      </w:r>
    </w:p>
    <w:p w14:paraId="62D157B9">
      <w:pPr>
        <w:jc w:val="center"/>
        <w:outlineLvl w:val="2"/>
        <w:rPr>
          <w:rFonts w:hint="eastAsia"/>
          <w:b/>
          <w:sz w:val="28"/>
          <w:szCs w:val="28"/>
          <w:highlight w:val="none"/>
          <w:lang w:val="en-US" w:eastAsia="zh-CN"/>
        </w:rPr>
      </w:pPr>
    </w:p>
    <w:p w14:paraId="346DF97D">
      <w:pPr>
        <w:jc w:val="center"/>
        <w:outlineLvl w:val="2"/>
        <w:rPr>
          <w:rFonts w:hint="eastAsia"/>
          <w:b/>
          <w:sz w:val="28"/>
          <w:szCs w:val="28"/>
          <w:highlight w:val="none"/>
          <w:lang w:val="en-US" w:eastAsia="zh-CN"/>
        </w:rPr>
      </w:pPr>
    </w:p>
    <w:p w14:paraId="2497F10A">
      <w:pPr>
        <w:bidi w:val="0"/>
        <w:rPr>
          <w:rFonts w:hint="eastAsia"/>
          <w:lang w:val="en-US" w:eastAsia="zh-CN"/>
        </w:rPr>
      </w:pPr>
    </w:p>
    <w:p w14:paraId="181B6D2D">
      <w:pPr>
        <w:bidi w:val="0"/>
        <w:rPr>
          <w:rFonts w:hint="eastAsia"/>
          <w:lang w:val="en-US" w:eastAsia="zh-CN"/>
        </w:rPr>
      </w:pPr>
    </w:p>
    <w:p w14:paraId="7BF91C74">
      <w:pPr>
        <w:bidi w:val="0"/>
        <w:rPr>
          <w:rFonts w:hint="eastAsia"/>
          <w:lang w:val="en-US" w:eastAsia="zh-CN"/>
        </w:rPr>
      </w:pPr>
    </w:p>
    <w:p w14:paraId="447B5697">
      <w:pPr>
        <w:bidi w:val="0"/>
        <w:rPr>
          <w:rFonts w:hint="eastAsia"/>
          <w:lang w:val="en-US" w:eastAsia="zh-CN"/>
        </w:rPr>
      </w:pPr>
    </w:p>
    <w:p w14:paraId="35351A5A">
      <w:pPr>
        <w:bidi w:val="0"/>
        <w:rPr>
          <w:rFonts w:hint="eastAsia"/>
          <w:lang w:val="en-US" w:eastAsia="zh-CN"/>
        </w:rPr>
      </w:pPr>
    </w:p>
    <w:p w14:paraId="67461149">
      <w:pPr>
        <w:bidi w:val="0"/>
        <w:rPr>
          <w:rFonts w:hint="eastAsia"/>
          <w:lang w:val="en-US" w:eastAsia="zh-CN"/>
        </w:rPr>
      </w:pPr>
    </w:p>
    <w:p w14:paraId="34B28A12">
      <w:pPr>
        <w:bidi w:val="0"/>
        <w:rPr>
          <w:rFonts w:hint="eastAsia"/>
          <w:lang w:val="en-US" w:eastAsia="zh-CN"/>
        </w:rPr>
      </w:pPr>
    </w:p>
    <w:p w14:paraId="16ED5060">
      <w:pPr>
        <w:jc w:val="center"/>
        <w:outlineLvl w:val="2"/>
        <w:rPr>
          <w:rFonts w:hint="eastAsia"/>
          <w:b/>
          <w:sz w:val="28"/>
          <w:szCs w:val="28"/>
          <w:highlight w:val="none"/>
          <w:lang w:val="en-US" w:eastAsia="zh-CN"/>
        </w:rPr>
      </w:pPr>
    </w:p>
    <w:p w14:paraId="5B70EDD4">
      <w:pPr>
        <w:jc w:val="center"/>
        <w:outlineLvl w:val="2"/>
        <w:rPr>
          <w:rFonts w:hint="eastAsia"/>
          <w:b/>
          <w:sz w:val="28"/>
          <w:szCs w:val="28"/>
          <w:highlight w:val="none"/>
          <w:lang w:val="en-US" w:eastAsia="zh-CN"/>
        </w:rPr>
      </w:pPr>
      <w:r>
        <w:rPr>
          <w:rFonts w:hint="eastAsia"/>
          <w:b/>
          <w:sz w:val="28"/>
          <w:szCs w:val="28"/>
          <w:highlight w:val="none"/>
          <w:lang w:val="en-US" w:eastAsia="zh-CN"/>
        </w:rPr>
        <w:t>二</w:t>
      </w:r>
      <w:r>
        <w:rPr>
          <w:b/>
          <w:sz w:val="28"/>
          <w:szCs w:val="28"/>
          <w:highlight w:val="none"/>
        </w:rPr>
        <w:t>、</w:t>
      </w:r>
      <w:r>
        <w:rPr>
          <w:rFonts w:hint="eastAsia"/>
          <w:b/>
          <w:sz w:val="28"/>
          <w:szCs w:val="28"/>
          <w:highlight w:val="none"/>
          <w:lang w:val="en-US" w:eastAsia="zh-CN"/>
        </w:rPr>
        <w:t>最后承诺报价表</w:t>
      </w:r>
    </w:p>
    <w:p w14:paraId="4DC77969">
      <w:pPr>
        <w:pStyle w:val="22"/>
        <w:rPr>
          <w:rFonts w:hint="eastAsia"/>
          <w:b/>
          <w:sz w:val="28"/>
          <w:szCs w:val="28"/>
          <w:highlight w:val="none"/>
          <w:lang w:val="en-US" w:eastAsia="zh-CN"/>
        </w:rPr>
      </w:pPr>
    </w:p>
    <w:p w14:paraId="327B8A48">
      <w:pPr>
        <w:pStyle w:val="22"/>
        <w:ind w:firstLine="3092" w:firstLineChars="1100"/>
        <w:jc w:val="both"/>
        <w:rPr>
          <w:rFonts w:hint="eastAsia" w:ascii="宋体" w:hAnsi="宋体" w:eastAsia="宋体" w:cs="宋体"/>
          <w:b/>
          <w:kern w:val="0"/>
          <w:sz w:val="21"/>
          <w:szCs w:val="21"/>
          <w:highlight w:val="none"/>
          <w:lang w:val="en-US" w:eastAsia="zh-CN" w:bidi="zh-CN"/>
        </w:rPr>
      </w:pPr>
      <w:r>
        <w:rPr>
          <w:rFonts w:hint="eastAsia"/>
          <w:b/>
          <w:sz w:val="28"/>
          <w:szCs w:val="28"/>
          <w:highlight w:val="none"/>
          <w:lang w:val="en-US" w:eastAsia="zh-CN"/>
        </w:rPr>
        <w:t>（</w:t>
      </w:r>
      <w:r>
        <w:rPr>
          <w:rFonts w:hint="eastAsia" w:ascii="宋体" w:hAnsi="宋体" w:eastAsia="宋体" w:cs="宋体"/>
          <w:b/>
          <w:kern w:val="0"/>
          <w:sz w:val="21"/>
          <w:szCs w:val="21"/>
          <w:highlight w:val="none"/>
          <w:lang w:val="en-US" w:eastAsia="zh-CN" w:bidi="zh-CN"/>
        </w:rPr>
        <w:t>某项目第   次报价书）</w:t>
      </w:r>
    </w:p>
    <w:p w14:paraId="65B76A89">
      <w:pPr>
        <w:pStyle w:val="22"/>
        <w:ind w:firstLine="2319" w:firstLineChars="1100"/>
        <w:jc w:val="both"/>
        <w:rPr>
          <w:rFonts w:hint="default" w:ascii="宋体" w:hAnsi="宋体" w:eastAsia="宋体" w:cs="宋体"/>
          <w:b/>
          <w:kern w:val="0"/>
          <w:sz w:val="21"/>
          <w:szCs w:val="21"/>
          <w:highlight w:val="none"/>
          <w:lang w:val="en-US" w:eastAsia="zh-CN" w:bidi="zh-CN"/>
        </w:rPr>
      </w:pPr>
    </w:p>
    <w:p w14:paraId="40288008">
      <w:pPr>
        <w:autoSpaceDE w:val="0"/>
        <w:autoSpaceDN w:val="0"/>
        <w:spacing w:line="360" w:lineRule="auto"/>
        <w:ind w:left="29" w:leftChars="14" w:firstLine="211" w:firstLineChars="100"/>
        <w:jc w:val="left"/>
        <w:rPr>
          <w:rFonts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4FBF8988">
      <w:pPr>
        <w:autoSpaceDE w:val="0"/>
        <w:autoSpaceDN w:val="0"/>
        <w:spacing w:line="360" w:lineRule="auto"/>
        <w:ind w:left="29" w:leftChars="14" w:firstLine="211" w:firstLineChars="100"/>
        <w:jc w:val="left"/>
        <w:rPr>
          <w:rFonts w:ascii="宋体" w:hAnsi="宋体" w:cs="宋体"/>
          <w:b/>
          <w:kern w:val="0"/>
          <w:highlight w:val="none"/>
          <w:lang w:val="zh-CN" w:bidi="zh-CN"/>
        </w:rPr>
      </w:pPr>
      <w:r>
        <w:rPr>
          <w:rFonts w:ascii="宋体" w:hAnsi="宋体" w:cs="宋体"/>
          <w:b/>
          <w:kern w:val="0"/>
          <w:highlight w:val="none"/>
          <w:lang w:val="zh-CN" w:bidi="zh-CN"/>
        </w:rPr>
        <w:t>项目编号：</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hint="eastAsia" w:ascii="宋体" w:hAnsi="宋体" w:cs="宋体"/>
          <w:b/>
          <w:kern w:val="0"/>
          <w:highlight w:val="none"/>
          <w:u w:val="single"/>
          <w:lang w:val="en-US" w:bidi="zh-CN"/>
        </w:rPr>
        <w:t xml:space="preserve">                 </w:t>
      </w:r>
      <w:r>
        <w:rPr>
          <w:rFonts w:ascii="宋体" w:hAnsi="宋体" w:cs="宋体"/>
          <w:b/>
          <w:kern w:val="0"/>
          <w:highlight w:val="none"/>
          <w:lang w:val="zh-CN" w:bidi="zh-CN"/>
        </w:rPr>
        <w:tab/>
      </w:r>
      <w:r>
        <w:rPr>
          <w:rFonts w:hint="eastAsia" w:ascii="宋体" w:hAnsi="宋体" w:cs="宋体"/>
          <w:b/>
          <w:kern w:val="0"/>
          <w:highlight w:val="non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20AEE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2C360453">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4EEC312B">
            <w:pPr>
              <w:pStyle w:val="25"/>
              <w:spacing w:line="360" w:lineRule="auto"/>
              <w:rPr>
                <w:sz w:val="21"/>
                <w:szCs w:val="21"/>
                <w:highlight w:val="none"/>
                <w:lang w:eastAsia="en-US"/>
              </w:rPr>
            </w:pPr>
          </w:p>
        </w:tc>
      </w:tr>
      <w:tr w14:paraId="2D3D1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0F6B66DC">
            <w:pPr>
              <w:pStyle w:val="25"/>
              <w:spacing w:before="11" w:line="360" w:lineRule="auto"/>
              <w:rPr>
                <w:b/>
                <w:sz w:val="21"/>
                <w:szCs w:val="21"/>
                <w:highlight w:val="none"/>
                <w:lang w:eastAsia="en-US"/>
              </w:rPr>
            </w:pPr>
          </w:p>
          <w:p w14:paraId="45159CAA">
            <w:pPr>
              <w:pStyle w:val="25"/>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2DC77FB0">
            <w:pPr>
              <w:pStyle w:val="25"/>
              <w:spacing w:before="11" w:line="360" w:lineRule="auto"/>
              <w:rPr>
                <w:b/>
                <w:sz w:val="21"/>
                <w:szCs w:val="21"/>
                <w:highlight w:val="none"/>
                <w:lang w:eastAsia="en-US"/>
              </w:rPr>
            </w:pPr>
          </w:p>
          <w:p w14:paraId="6B6DCE8E">
            <w:pPr>
              <w:pStyle w:val="25"/>
              <w:tabs>
                <w:tab w:val="left" w:pos="1547"/>
              </w:tabs>
              <w:spacing w:line="360" w:lineRule="auto"/>
              <w:ind w:left="107"/>
              <w:rPr>
                <w:sz w:val="21"/>
                <w:szCs w:val="21"/>
                <w:highlight w:val="none"/>
                <w:lang w:eastAsia="en-US"/>
              </w:rPr>
            </w:pPr>
            <w:r>
              <w:rPr>
                <w:sz w:val="21"/>
                <w:szCs w:val="21"/>
                <w:highlight w:val="none"/>
                <w:lang w:eastAsia="en-US"/>
              </w:rPr>
              <w:t>全部</w:t>
            </w:r>
          </w:p>
        </w:tc>
      </w:tr>
      <w:tr w14:paraId="6A7C0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2F66DFD2">
            <w:pPr>
              <w:pStyle w:val="25"/>
              <w:spacing w:before="7" w:line="360" w:lineRule="auto"/>
              <w:rPr>
                <w:b/>
                <w:sz w:val="21"/>
                <w:szCs w:val="21"/>
                <w:highlight w:val="none"/>
              </w:rPr>
            </w:pPr>
          </w:p>
          <w:p w14:paraId="13682A03">
            <w:pPr>
              <w:pStyle w:val="25"/>
              <w:spacing w:line="360" w:lineRule="auto"/>
              <w:ind w:left="245" w:right="235"/>
              <w:jc w:val="center"/>
              <w:rPr>
                <w:b/>
                <w:sz w:val="21"/>
                <w:szCs w:val="21"/>
                <w:highlight w:val="none"/>
              </w:rPr>
            </w:pPr>
            <w:r>
              <w:rPr>
                <w:b/>
                <w:sz w:val="21"/>
                <w:szCs w:val="21"/>
                <w:highlight w:val="none"/>
              </w:rPr>
              <w:t>报价</w:t>
            </w:r>
          </w:p>
          <w:p w14:paraId="216D6A5A">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563875E5">
            <w:pPr>
              <w:pStyle w:val="25"/>
              <w:spacing w:line="360" w:lineRule="auto"/>
              <w:rPr>
                <w:b/>
                <w:sz w:val="21"/>
                <w:szCs w:val="21"/>
                <w:highlight w:val="none"/>
              </w:rPr>
            </w:pPr>
          </w:p>
          <w:p w14:paraId="272BC6D3">
            <w:pPr>
              <w:pStyle w:val="25"/>
              <w:tabs>
                <w:tab w:val="left" w:pos="4482"/>
              </w:tabs>
              <w:spacing w:line="360" w:lineRule="auto"/>
              <w:ind w:left="107"/>
              <w:rPr>
                <w:rFonts w:hint="eastAsia" w:eastAsia="宋体"/>
                <w:sz w:val="21"/>
                <w:szCs w:val="21"/>
                <w:highlight w:val="none"/>
                <w:lang w:val="en-US" w:eastAsia="zh-CN"/>
              </w:rPr>
            </w:pPr>
            <w:r>
              <w:rPr>
                <w:rFonts w:hint="eastAsia"/>
                <w:b/>
                <w:sz w:val="21"/>
                <w:szCs w:val="21"/>
                <w:highlight w:val="none"/>
                <w:lang w:val="en-US" w:eastAsia="zh-CN"/>
              </w:rPr>
              <w:t>人民币：</w:t>
            </w:r>
            <w:r>
              <w:rPr>
                <w:rFonts w:hint="eastAsia"/>
                <w:highlight w:val="none"/>
              </w:rPr>
              <w:t>（大写）</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元 （小写     元）</w:t>
            </w:r>
          </w:p>
        </w:tc>
      </w:tr>
      <w:tr w14:paraId="0D9B5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7F8D9CE6">
            <w:pPr>
              <w:pStyle w:val="25"/>
              <w:spacing w:line="360" w:lineRule="auto"/>
              <w:rPr>
                <w:b/>
                <w:sz w:val="21"/>
                <w:szCs w:val="21"/>
                <w:highlight w:val="none"/>
              </w:rPr>
            </w:pPr>
          </w:p>
          <w:p w14:paraId="6ED97B86">
            <w:pPr>
              <w:pStyle w:val="25"/>
              <w:spacing w:line="360" w:lineRule="auto"/>
              <w:rPr>
                <w:b/>
                <w:sz w:val="21"/>
                <w:szCs w:val="21"/>
                <w:highlight w:val="none"/>
              </w:rPr>
            </w:pPr>
          </w:p>
          <w:p w14:paraId="75351349">
            <w:pPr>
              <w:pStyle w:val="25"/>
              <w:spacing w:line="360" w:lineRule="auto"/>
              <w:rPr>
                <w:b/>
                <w:sz w:val="21"/>
                <w:szCs w:val="21"/>
                <w:highlight w:val="none"/>
              </w:rPr>
            </w:pPr>
          </w:p>
          <w:p w14:paraId="05227352">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206E791E">
            <w:pPr>
              <w:pStyle w:val="25"/>
              <w:spacing w:line="360" w:lineRule="auto"/>
              <w:rPr>
                <w:sz w:val="21"/>
                <w:szCs w:val="21"/>
                <w:highlight w:val="none"/>
                <w:lang w:eastAsia="en-US"/>
              </w:rPr>
            </w:pPr>
          </w:p>
        </w:tc>
      </w:tr>
    </w:tbl>
    <w:p w14:paraId="07F01560">
      <w:pPr>
        <w:pStyle w:val="2"/>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46184750">
      <w:pPr>
        <w:pStyle w:val="2"/>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37DA4B87">
      <w:pPr>
        <w:pStyle w:val="2"/>
        <w:tabs>
          <w:tab w:val="left" w:pos="6705"/>
        </w:tabs>
        <w:spacing w:line="360" w:lineRule="auto"/>
        <w:ind w:right="1223" w:firstLine="4620" w:firstLineChars="2200"/>
        <w:rPr>
          <w:rFonts w:hint="eastAsia"/>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349906E5">
      <w:pPr>
        <w:pStyle w:val="2"/>
        <w:tabs>
          <w:tab w:val="left" w:pos="6705"/>
        </w:tabs>
        <w:spacing w:line="360" w:lineRule="auto"/>
        <w:ind w:right="1223" w:firstLine="4620" w:firstLineChars="2200"/>
        <w:rPr>
          <w:rFonts w:hint="eastAsia"/>
          <w:sz w:val="21"/>
          <w:szCs w:val="21"/>
          <w:highlight w:val="none"/>
          <w:u w:val="single"/>
        </w:rPr>
      </w:pPr>
    </w:p>
    <w:p w14:paraId="687AE98E">
      <w:pPr>
        <w:autoSpaceDE w:val="0"/>
        <w:autoSpaceDN w:val="0"/>
        <w:spacing w:before="120" w:beforeLines="50" w:after="120" w:afterLines="50" w:line="360" w:lineRule="auto"/>
        <w:ind w:right="210" w:rightChars="100" w:firstLine="422" w:firstLineChars="200"/>
        <w:jc w:val="left"/>
        <w:rPr>
          <w:rFonts w:hint="eastAsia" w:ascii="宋体" w:hAnsi="宋体" w:cs="宋体"/>
          <w:b/>
          <w:kern w:val="0"/>
          <w:highlight w:val="none"/>
          <w:lang w:val="zh-CN" w:bidi="zh-CN"/>
        </w:rPr>
      </w:pPr>
      <w:r>
        <w:rPr>
          <w:rFonts w:hint="eastAsia" w:ascii="宋体" w:hAnsi="宋体" w:cs="宋体"/>
          <w:b/>
          <w:kern w:val="0"/>
          <w:highlight w:val="none"/>
          <w:lang w:val="en-US" w:eastAsia="zh-CN" w:bidi="zh-CN"/>
        </w:rPr>
        <w:t>1、</w:t>
      </w:r>
      <w:r>
        <w:rPr>
          <w:rFonts w:hint="eastAsia" w:ascii="宋体" w:hAnsi="宋体" w:cs="宋体"/>
          <w:b/>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25763343">
      <w:pPr>
        <w:autoSpaceDE w:val="0"/>
        <w:autoSpaceDN w:val="0"/>
        <w:spacing w:before="120" w:beforeLines="50" w:after="120" w:afterLines="50" w:line="360" w:lineRule="auto"/>
        <w:ind w:right="210" w:rightChars="100" w:firstLine="422" w:firstLineChars="200"/>
        <w:jc w:val="left"/>
        <w:rPr>
          <w:rFonts w:ascii="宋体" w:hAnsi="宋体"/>
          <w:b/>
          <w:highlight w:val="none"/>
        </w:rPr>
      </w:pPr>
      <w:r>
        <w:rPr>
          <w:rFonts w:hint="eastAsia" w:ascii="宋体" w:hAnsi="宋体" w:cs="宋体"/>
          <w:b/>
          <w:kern w:val="0"/>
          <w:highlight w:val="none"/>
          <w:lang w:val="en-US" w:eastAsia="zh-CN" w:bidi="zh-CN"/>
        </w:rPr>
        <w:t>2、</w:t>
      </w:r>
      <w:r>
        <w:rPr>
          <w:rFonts w:hint="eastAsia" w:ascii="宋体" w:hAnsi="宋体" w:cs="宋体"/>
          <w:b/>
          <w:kern w:val="0"/>
          <w:highlight w:val="none"/>
          <w:lang w:val="zh-CN" w:bidi="zh-CN"/>
        </w:rPr>
        <w:t>本表用于多轮报价，供应商多备几份手</w:t>
      </w:r>
      <w:r>
        <w:rPr>
          <w:rFonts w:hint="eastAsia" w:ascii="宋体" w:hAnsi="宋体" w:cs="宋体"/>
          <w:b/>
          <w:kern w:val="0"/>
          <w:highlight w:val="none"/>
          <w:lang w:val="en-US" w:eastAsia="zh-CN" w:bidi="zh-CN"/>
        </w:rPr>
        <w:t>持。</w:t>
      </w:r>
      <w:r>
        <w:rPr>
          <w:rFonts w:ascii="宋体" w:hAnsi="宋体"/>
          <w:b/>
          <w:highlight w:val="none"/>
        </w:rPr>
        <w:br w:type="page"/>
      </w:r>
    </w:p>
    <w:p w14:paraId="5E95A447">
      <w:pPr>
        <w:pStyle w:val="22"/>
        <w:rPr>
          <w:highlight w:val="none"/>
        </w:rPr>
      </w:pPr>
    </w:p>
    <w:p w14:paraId="265AA3F8">
      <w:pPr>
        <w:jc w:val="center"/>
        <w:outlineLvl w:val="2"/>
        <w:rPr>
          <w:b/>
          <w:sz w:val="28"/>
          <w:szCs w:val="28"/>
          <w:highlight w:val="none"/>
        </w:rPr>
      </w:pPr>
      <w:r>
        <w:rPr>
          <w:rFonts w:hint="eastAsia"/>
          <w:b/>
          <w:sz w:val="28"/>
          <w:szCs w:val="28"/>
          <w:highlight w:val="none"/>
          <w:lang w:val="en-US" w:eastAsia="zh-CN"/>
        </w:rPr>
        <w:t>三</w:t>
      </w:r>
      <w:r>
        <w:rPr>
          <w:b/>
          <w:sz w:val="28"/>
          <w:szCs w:val="28"/>
          <w:highlight w:val="none"/>
        </w:rPr>
        <w:t>、磋商响应函</w:t>
      </w:r>
    </w:p>
    <w:p w14:paraId="70890779">
      <w:pPr>
        <w:spacing w:before="240" w:beforeLines="100" w:after="240" w:afterLines="100" w:line="360" w:lineRule="auto"/>
        <w:rPr>
          <w:b/>
          <w:highlight w:val="none"/>
        </w:rPr>
      </w:pPr>
      <w:r>
        <w:rPr>
          <w:b/>
          <w:highlight w:val="none"/>
        </w:rPr>
        <w:t xml:space="preserve">致： </w:t>
      </w:r>
      <w:r>
        <w:rPr>
          <w:rFonts w:hint="eastAsia"/>
          <w:b/>
          <w:highlight w:val="none"/>
        </w:rPr>
        <w:t>（采购人）</w:t>
      </w:r>
    </w:p>
    <w:p w14:paraId="1161DE3C">
      <w:pPr>
        <w:pStyle w:val="2"/>
        <w:spacing w:before="2" w:line="360" w:lineRule="auto"/>
        <w:ind w:left="700"/>
        <w:rPr>
          <w:sz w:val="21"/>
          <w:szCs w:val="21"/>
          <w:highlight w:val="none"/>
        </w:rPr>
      </w:pPr>
      <w:r>
        <w:rPr>
          <w:sz w:val="21"/>
          <w:szCs w:val="21"/>
          <w:highlight w:val="none"/>
        </w:rPr>
        <w:t>根据贵方的竞争性磋商公告，我方兹宣布同意如下：</w:t>
      </w:r>
    </w:p>
    <w:p w14:paraId="031A0CC2">
      <w:pPr>
        <w:pStyle w:val="27"/>
        <w:numPr>
          <w:ilvl w:val="2"/>
          <w:numId w:val="21"/>
        </w:numPr>
        <w:tabs>
          <w:tab w:val="left" w:pos="942"/>
        </w:tabs>
        <w:spacing w:before="160" w:line="360" w:lineRule="auto"/>
        <w:ind w:right="357" w:firstLine="479"/>
        <w:rPr>
          <w:sz w:val="21"/>
          <w:szCs w:val="21"/>
          <w:highlight w:val="none"/>
        </w:rPr>
      </w:pPr>
      <w:r>
        <w:rPr>
          <w:spacing w:val="-11"/>
          <w:sz w:val="21"/>
          <w:szCs w:val="21"/>
          <w:highlight w:val="none"/>
        </w:rPr>
        <w:t>如我公司成交，我公司承诺愿意按磋商文件规定缴纳履约保证金和成交服</w:t>
      </w:r>
      <w:r>
        <w:rPr>
          <w:sz w:val="21"/>
          <w:szCs w:val="21"/>
          <w:highlight w:val="none"/>
        </w:rPr>
        <w:t>务费。按本次磋商文件规定及最后报价承诺供货及安装。</w:t>
      </w:r>
    </w:p>
    <w:p w14:paraId="7F238855">
      <w:pPr>
        <w:pStyle w:val="27"/>
        <w:numPr>
          <w:ilvl w:val="2"/>
          <w:numId w:val="21"/>
        </w:numPr>
        <w:tabs>
          <w:tab w:val="left" w:pos="942"/>
        </w:tabs>
        <w:spacing w:before="1" w:line="360" w:lineRule="auto"/>
        <w:ind w:right="361" w:firstLine="479"/>
        <w:rPr>
          <w:sz w:val="21"/>
          <w:szCs w:val="21"/>
          <w:highlight w:val="none"/>
        </w:rPr>
      </w:pPr>
      <w:r>
        <w:rPr>
          <w:spacing w:val="-1"/>
          <w:sz w:val="21"/>
          <w:szCs w:val="21"/>
          <w:highlight w:val="none"/>
        </w:rPr>
        <w:t>我方根据本次磋商文件的规定，严格履行合同的责任和义务,并保证于买</w:t>
      </w:r>
      <w:r>
        <w:rPr>
          <w:sz w:val="21"/>
          <w:szCs w:val="21"/>
          <w:highlight w:val="none"/>
        </w:rPr>
        <w:t>方要求的日期内完成服务，并通过买方验收。</w:t>
      </w:r>
    </w:p>
    <w:p w14:paraId="3F30C729">
      <w:pPr>
        <w:pStyle w:val="27"/>
        <w:numPr>
          <w:ilvl w:val="2"/>
          <w:numId w:val="21"/>
        </w:numPr>
        <w:tabs>
          <w:tab w:val="left" w:pos="942"/>
        </w:tabs>
        <w:spacing w:before="2" w:line="360" w:lineRule="auto"/>
        <w:ind w:left="941" w:hanging="242"/>
        <w:rPr>
          <w:sz w:val="21"/>
          <w:szCs w:val="21"/>
          <w:highlight w:val="none"/>
        </w:rPr>
      </w:pPr>
      <w:r>
        <w:rPr>
          <w:sz w:val="21"/>
          <w:szCs w:val="21"/>
          <w:highlight w:val="none"/>
        </w:rPr>
        <w:t>我方承诺报价低于同类货物和服务的市场平均价格。</w:t>
      </w:r>
    </w:p>
    <w:p w14:paraId="4A2CB55A">
      <w:pPr>
        <w:pStyle w:val="27"/>
        <w:numPr>
          <w:ilvl w:val="2"/>
          <w:numId w:val="21"/>
        </w:numPr>
        <w:tabs>
          <w:tab w:val="left" w:pos="942"/>
        </w:tabs>
        <w:spacing w:before="161" w:line="360" w:lineRule="auto"/>
        <w:ind w:right="239" w:firstLine="479"/>
        <w:jc w:val="both"/>
        <w:rPr>
          <w:sz w:val="21"/>
          <w:szCs w:val="21"/>
          <w:highlight w:val="none"/>
        </w:rPr>
      </w:pPr>
      <w:r>
        <w:rPr>
          <w:spacing w:val="-6"/>
          <w:sz w:val="21"/>
          <w:szCs w:val="21"/>
          <w:highlight w:val="none"/>
        </w:rPr>
        <w:t>我方已详细审核本次磋商文件，包括磋商文件附件、参考资料、磋商文件</w:t>
      </w:r>
      <w:r>
        <w:rPr>
          <w:spacing w:val="-4"/>
          <w:sz w:val="21"/>
          <w:szCs w:val="21"/>
          <w:highlight w:val="none"/>
        </w:rPr>
        <w:t>修改书或图纸</w:t>
      </w:r>
      <w:r>
        <w:rPr>
          <w:spacing w:val="2"/>
          <w:sz w:val="21"/>
          <w:szCs w:val="21"/>
          <w:highlight w:val="none"/>
        </w:rPr>
        <w:t>（</w:t>
      </w:r>
      <w:r>
        <w:rPr>
          <w:sz w:val="21"/>
          <w:szCs w:val="21"/>
          <w:highlight w:val="none"/>
        </w:rPr>
        <w:t>如有</w:t>
      </w:r>
      <w:r>
        <w:rPr>
          <w:spacing w:val="-118"/>
          <w:sz w:val="21"/>
          <w:szCs w:val="21"/>
          <w:highlight w:val="none"/>
        </w:rPr>
        <w:t>）</w:t>
      </w:r>
      <w:r>
        <w:rPr>
          <w:sz w:val="21"/>
          <w:szCs w:val="21"/>
          <w:highlight w:val="none"/>
        </w:rPr>
        <w:t>，我方正式认可并遵守本次磋商文件，并对磋商文件各项</w:t>
      </w:r>
      <w:r>
        <w:rPr>
          <w:spacing w:val="-17"/>
          <w:sz w:val="21"/>
          <w:szCs w:val="21"/>
          <w:highlight w:val="none"/>
        </w:rPr>
        <w:t>条款、规定及要求均无异议。我方知道必须放弃提出含糊不清或误解问题的权利。</w:t>
      </w:r>
    </w:p>
    <w:p w14:paraId="5B06CB07">
      <w:pPr>
        <w:pStyle w:val="27"/>
        <w:numPr>
          <w:ilvl w:val="2"/>
          <w:numId w:val="21"/>
        </w:numPr>
        <w:tabs>
          <w:tab w:val="left" w:pos="942"/>
        </w:tabs>
        <w:spacing w:before="1" w:line="360" w:lineRule="auto"/>
        <w:ind w:right="357" w:firstLine="479"/>
        <w:rPr>
          <w:sz w:val="21"/>
          <w:szCs w:val="21"/>
          <w:highlight w:val="none"/>
        </w:rPr>
      </w:pPr>
      <w:r>
        <w:rPr>
          <w:spacing w:val="-5"/>
          <w:sz w:val="21"/>
          <w:szCs w:val="21"/>
          <w:highlight w:val="none"/>
        </w:rPr>
        <w:t>我方同意从供应商须知规定的磋商日期起遵循本磋商文件，并在供应商须</w:t>
      </w:r>
      <w:r>
        <w:rPr>
          <w:sz w:val="21"/>
          <w:szCs w:val="21"/>
          <w:highlight w:val="none"/>
        </w:rPr>
        <w:t>知规定的磋商有效期之前均具有约束力。</w:t>
      </w:r>
    </w:p>
    <w:p w14:paraId="21A46CF5">
      <w:pPr>
        <w:pStyle w:val="27"/>
        <w:numPr>
          <w:ilvl w:val="2"/>
          <w:numId w:val="21"/>
        </w:numPr>
        <w:tabs>
          <w:tab w:val="left" w:pos="946"/>
        </w:tabs>
        <w:spacing w:before="2" w:line="360" w:lineRule="auto"/>
        <w:ind w:right="350" w:firstLine="479"/>
        <w:rPr>
          <w:sz w:val="21"/>
          <w:szCs w:val="21"/>
          <w:highlight w:val="none"/>
        </w:rPr>
      </w:pPr>
      <w:r>
        <w:rPr>
          <w:spacing w:val="4"/>
          <w:sz w:val="21"/>
          <w:szCs w:val="21"/>
          <w:highlight w:val="none"/>
        </w:rPr>
        <w:t>我方同意按贵方要求在磋商现场规定时间内向贵方提供与其磋商有关的</w:t>
      </w:r>
      <w:r>
        <w:rPr>
          <w:sz w:val="21"/>
          <w:szCs w:val="21"/>
          <w:highlight w:val="none"/>
        </w:rPr>
        <w:t>任何证据或补充资料，否则，我方的响应文件可被贵方拒绝。</w:t>
      </w:r>
    </w:p>
    <w:p w14:paraId="388AF217">
      <w:pPr>
        <w:pStyle w:val="27"/>
        <w:numPr>
          <w:ilvl w:val="2"/>
          <w:numId w:val="21"/>
        </w:numPr>
        <w:tabs>
          <w:tab w:val="left" w:pos="942"/>
        </w:tabs>
        <w:spacing w:before="1" w:line="360" w:lineRule="auto"/>
        <w:ind w:left="941" w:hanging="242"/>
        <w:rPr>
          <w:sz w:val="21"/>
          <w:szCs w:val="21"/>
          <w:highlight w:val="none"/>
        </w:rPr>
      </w:pPr>
      <w:r>
        <w:rPr>
          <w:sz w:val="21"/>
          <w:szCs w:val="21"/>
          <w:highlight w:val="none"/>
        </w:rPr>
        <w:t>我方完全理解贵方不一定接受最低报价的磋商。</w:t>
      </w:r>
    </w:p>
    <w:p w14:paraId="54FF8E87">
      <w:pPr>
        <w:pStyle w:val="27"/>
        <w:numPr>
          <w:ilvl w:val="2"/>
          <w:numId w:val="21"/>
        </w:numPr>
        <w:tabs>
          <w:tab w:val="left" w:pos="942"/>
        </w:tabs>
        <w:spacing w:before="161" w:line="360" w:lineRule="auto"/>
        <w:ind w:left="941" w:hanging="242"/>
        <w:rPr>
          <w:sz w:val="21"/>
          <w:szCs w:val="21"/>
          <w:highlight w:val="none"/>
        </w:rPr>
      </w:pPr>
      <w:r>
        <w:rPr>
          <w:sz w:val="21"/>
          <w:szCs w:val="21"/>
          <w:highlight w:val="none"/>
        </w:rPr>
        <w:t>我方同意磋商文件规定的付款方式、服务期限。</w:t>
      </w:r>
    </w:p>
    <w:p w14:paraId="1661EDBD">
      <w:pPr>
        <w:pStyle w:val="27"/>
        <w:numPr>
          <w:ilvl w:val="2"/>
          <w:numId w:val="21"/>
        </w:numPr>
        <w:tabs>
          <w:tab w:val="left" w:pos="1062"/>
        </w:tabs>
        <w:spacing w:before="161" w:line="360" w:lineRule="auto"/>
        <w:ind w:right="360" w:firstLine="479"/>
        <w:rPr>
          <w:sz w:val="21"/>
          <w:szCs w:val="21"/>
          <w:highlight w:val="none"/>
        </w:rPr>
      </w:pPr>
      <w:r>
        <w:rPr>
          <w:spacing w:val="-1"/>
          <w:sz w:val="21"/>
          <w:szCs w:val="21"/>
          <w:highlight w:val="none"/>
        </w:rPr>
        <w:t>我方对响应文件中所提供资料、文件、证书及证件的真实性和有效性负</w:t>
      </w:r>
      <w:r>
        <w:rPr>
          <w:sz w:val="21"/>
          <w:szCs w:val="21"/>
          <w:highlight w:val="none"/>
        </w:rPr>
        <w:t>责。</w:t>
      </w:r>
    </w:p>
    <w:p w14:paraId="75D4E532">
      <w:pPr>
        <w:pStyle w:val="27"/>
        <w:numPr>
          <w:ilvl w:val="2"/>
          <w:numId w:val="21"/>
        </w:numPr>
        <w:tabs>
          <w:tab w:val="left" w:pos="1062"/>
          <w:tab w:val="left" w:pos="4956"/>
          <w:tab w:val="left" w:pos="7116"/>
        </w:tabs>
        <w:spacing w:before="1" w:line="360" w:lineRule="auto"/>
        <w:ind w:left="697" w:firstLine="0"/>
        <w:rPr>
          <w:sz w:val="21"/>
          <w:szCs w:val="21"/>
          <w:highlight w:val="none"/>
        </w:rPr>
      </w:pPr>
      <w:r>
        <w:rPr>
          <w:sz w:val="21"/>
          <w:szCs w:val="21"/>
          <w:highlight w:val="none"/>
        </w:rPr>
        <w:t>与本磋商有关的通讯地址：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 xml:space="preserve"> </w:t>
      </w:r>
      <w:r>
        <w:rPr>
          <w:rFonts w:hint="eastAsia"/>
          <w:sz w:val="21"/>
          <w:szCs w:val="21"/>
          <w:highlight w:val="none"/>
        </w:rPr>
        <w:t xml:space="preserve"> </w:t>
      </w:r>
    </w:p>
    <w:p w14:paraId="67FA2021">
      <w:pPr>
        <w:pStyle w:val="27"/>
        <w:tabs>
          <w:tab w:val="left" w:pos="1062"/>
          <w:tab w:val="left" w:pos="4956"/>
          <w:tab w:val="left" w:pos="7116"/>
        </w:tabs>
        <w:spacing w:before="1" w:line="360" w:lineRule="auto"/>
        <w:ind w:left="697" w:firstLine="0"/>
        <w:rPr>
          <w:sz w:val="21"/>
          <w:szCs w:val="21"/>
          <w:highlight w:val="none"/>
        </w:rPr>
      </w:pPr>
      <w:r>
        <w:rPr>
          <w:rFonts w:hint="eastAsia"/>
          <w:sz w:val="21"/>
          <w:szCs w:val="21"/>
          <w:highlight w:val="none"/>
        </w:rPr>
        <w:t xml:space="preserve">                </w:t>
      </w:r>
    </w:p>
    <w:p w14:paraId="74E96C3D">
      <w:pPr>
        <w:pStyle w:val="27"/>
        <w:tabs>
          <w:tab w:val="left" w:pos="1062"/>
          <w:tab w:val="left" w:pos="8550"/>
        </w:tabs>
        <w:spacing w:before="1" w:line="360" w:lineRule="auto"/>
        <w:ind w:left="697" w:firstLine="0"/>
        <w:rPr>
          <w:sz w:val="21"/>
          <w:szCs w:val="21"/>
          <w:highlight w:val="none"/>
        </w:rPr>
      </w:pPr>
      <w:r>
        <w:rPr>
          <w:rFonts w:hint="eastAsia"/>
          <w:sz w:val="21"/>
          <w:szCs w:val="21"/>
          <w:highlight w:val="none"/>
        </w:rPr>
        <w:t xml:space="preserve">                                   </w:t>
      </w:r>
      <w:r>
        <w:rPr>
          <w:sz w:val="21"/>
          <w:szCs w:val="21"/>
          <w:highlight w:val="none"/>
        </w:rPr>
        <w:t>供应商公章：</w:t>
      </w:r>
      <w:r>
        <w:rPr>
          <w:sz w:val="21"/>
          <w:szCs w:val="21"/>
          <w:highlight w:val="none"/>
          <w:u w:val="single"/>
        </w:rPr>
        <w:t xml:space="preserve"> </w:t>
      </w:r>
      <w:r>
        <w:rPr>
          <w:sz w:val="21"/>
          <w:szCs w:val="21"/>
          <w:highlight w:val="none"/>
          <w:u w:val="single"/>
        </w:rPr>
        <w:tab/>
      </w:r>
    </w:p>
    <w:p w14:paraId="060BF9F4">
      <w:pPr>
        <w:pStyle w:val="2"/>
        <w:tabs>
          <w:tab w:val="left" w:pos="5841"/>
          <w:tab w:val="left" w:pos="8923"/>
        </w:tabs>
        <w:spacing w:before="160" w:line="360" w:lineRule="auto"/>
        <w:ind w:left="703"/>
        <w:jc w:val="center"/>
        <w:rPr>
          <w:sz w:val="21"/>
          <w:szCs w:val="21"/>
          <w:highlight w:val="none"/>
          <w:u w:val="single"/>
        </w:rPr>
      </w:pPr>
      <w:r>
        <w:rPr>
          <w:rFonts w:hint="eastAsia"/>
          <w:sz w:val="21"/>
          <w:szCs w:val="21"/>
          <w:highlight w:val="none"/>
        </w:rPr>
        <w:t xml:space="preserve">                       法定代表人或其委托代理人：</w:t>
      </w:r>
      <w:r>
        <w:rPr>
          <w:rFonts w:hint="eastAsia"/>
          <w:sz w:val="21"/>
          <w:szCs w:val="21"/>
          <w:highlight w:val="none"/>
          <w:u w:val="single"/>
        </w:rPr>
        <w:t xml:space="preserve">（签字或盖章） </w:t>
      </w:r>
    </w:p>
    <w:p w14:paraId="29D3719A">
      <w:pPr>
        <w:pStyle w:val="2"/>
        <w:tabs>
          <w:tab w:val="left" w:pos="1420"/>
          <w:tab w:val="left" w:pos="4595"/>
        </w:tabs>
        <w:spacing w:before="1" w:line="360" w:lineRule="auto"/>
        <w:ind w:left="699" w:leftChars="333" w:firstLine="4200" w:firstLineChars="2000"/>
        <w:rPr>
          <w:sz w:val="21"/>
          <w:szCs w:val="21"/>
          <w:highlight w:val="none"/>
        </w:rPr>
      </w:pPr>
      <w:r>
        <w:rPr>
          <w:sz w:val="21"/>
          <w:szCs w:val="21"/>
          <w:highlight w:val="none"/>
        </w:rPr>
        <w:t>日</w:t>
      </w:r>
      <w:r>
        <w:rPr>
          <w:sz w:val="21"/>
          <w:szCs w:val="21"/>
          <w:highlight w:val="none"/>
        </w:rPr>
        <w:tab/>
      </w:r>
      <w:r>
        <w:rPr>
          <w:rFonts w:hint="eastAsia"/>
          <w:sz w:val="21"/>
          <w:szCs w:val="21"/>
          <w:highlight w:val="none"/>
        </w:rPr>
        <w:t xml:space="preserve">    </w:t>
      </w:r>
      <w:r>
        <w:rPr>
          <w:sz w:val="21"/>
          <w:szCs w:val="21"/>
          <w:highlight w:val="none"/>
        </w:rPr>
        <w:t>期：</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14:paraId="41EAF89E">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2A5407B5">
      <w:pPr>
        <w:spacing w:line="360" w:lineRule="auto"/>
        <w:jc w:val="left"/>
        <w:rPr>
          <w:rFonts w:ascii="宋体" w:hAnsi="宋体" w:cs="黑体"/>
          <w:highlight w:val="none"/>
        </w:rPr>
      </w:pPr>
      <w:r>
        <w:rPr>
          <w:rFonts w:hint="eastAsia" w:ascii="宋体" w:hAnsi="宋体" w:cs="黑体"/>
          <w:b/>
          <w:highlight w:val="none"/>
        </w:rPr>
        <w:t>附录1</w:t>
      </w:r>
      <w:r>
        <w:rPr>
          <w:rFonts w:hint="eastAsia" w:ascii="宋体" w:hAnsi="宋体" w:cs="黑体"/>
          <w:highlight w:val="none"/>
        </w:rPr>
        <w:t>:</w:t>
      </w:r>
    </w:p>
    <w:p w14:paraId="01951377">
      <w:pPr>
        <w:spacing w:line="360" w:lineRule="auto"/>
        <w:jc w:val="left"/>
        <w:rPr>
          <w:rFonts w:ascii="宋体" w:hAnsi="宋体" w:cs="黑体"/>
          <w:highlight w:val="none"/>
        </w:rPr>
      </w:pPr>
    </w:p>
    <w:p w14:paraId="2DC99D47">
      <w:pPr>
        <w:spacing w:line="360" w:lineRule="auto"/>
        <w:jc w:val="center"/>
        <w:rPr>
          <w:rFonts w:ascii="宋体" w:hAnsi="宋体" w:cs="黑体"/>
          <w:highlight w:val="none"/>
        </w:rPr>
      </w:pPr>
      <w:r>
        <w:rPr>
          <w:rFonts w:hint="eastAsia" w:ascii="宋体" w:hAnsi="宋体" w:cs="黑体"/>
          <w:highlight w:val="none"/>
        </w:rPr>
        <w:t>供应商诚信承诺书</w:t>
      </w:r>
    </w:p>
    <w:p w14:paraId="55E8624D">
      <w:pPr>
        <w:pStyle w:val="29"/>
        <w:widowControl w:val="0"/>
        <w:spacing w:line="360" w:lineRule="auto"/>
        <w:rPr>
          <w:rFonts w:ascii="宋体" w:hAnsi="宋体"/>
          <w:bCs/>
          <w:highlight w:val="none"/>
          <w:u w:val="single"/>
        </w:rPr>
      </w:pPr>
      <w:r>
        <w:rPr>
          <w:rFonts w:hint="eastAsia" w:ascii="宋体" w:hAnsi="宋体"/>
          <w:bCs/>
          <w:highlight w:val="none"/>
        </w:rPr>
        <w:t>致：</w:t>
      </w:r>
      <w:r>
        <w:rPr>
          <w:rFonts w:hint="eastAsia" w:ascii="宋体" w:hAnsi="宋体"/>
          <w:bCs/>
          <w:highlight w:val="none"/>
          <w:u w:val="single"/>
        </w:rPr>
        <w:t xml:space="preserve">  （采购人）</w:t>
      </w:r>
    </w:p>
    <w:p w14:paraId="38CC0161">
      <w:pPr>
        <w:spacing w:line="360" w:lineRule="auto"/>
        <w:ind w:firstLine="420" w:firstLineChars="200"/>
        <w:rPr>
          <w:rFonts w:ascii="宋体" w:hAnsi="宋体" w:cs="仿宋"/>
          <w:highlight w:val="none"/>
        </w:rPr>
      </w:pPr>
      <w:r>
        <w:rPr>
          <w:rFonts w:hint="eastAsia" w:ascii="宋体" w:hAnsi="宋体" w:cs="仿宋"/>
          <w:highlight w:val="none"/>
        </w:rPr>
        <w:t>我单位参加本次投标，承诺如下：</w:t>
      </w:r>
    </w:p>
    <w:p w14:paraId="223185AB">
      <w:pPr>
        <w:spacing w:line="360" w:lineRule="auto"/>
        <w:ind w:firstLine="420" w:firstLineChars="200"/>
        <w:rPr>
          <w:rFonts w:ascii="宋体" w:hAnsi="宋体" w:cs="仿宋"/>
          <w:highlight w:val="none"/>
        </w:rPr>
      </w:pPr>
      <w:r>
        <w:rPr>
          <w:rFonts w:hint="eastAsia" w:ascii="宋体" w:hAnsi="宋体" w:cs="仿宋"/>
          <w:highlight w:val="none"/>
        </w:rPr>
        <w:t>1. 提供的所有资料都是真实有效。如被发现提供虚假资料或虚假承诺（声明），同意取消磋商和成交候选人资格。</w:t>
      </w:r>
    </w:p>
    <w:p w14:paraId="75C8A8F8">
      <w:pPr>
        <w:spacing w:line="360" w:lineRule="auto"/>
        <w:ind w:firstLine="420" w:firstLineChars="200"/>
        <w:rPr>
          <w:rFonts w:ascii="宋体" w:hAnsi="宋体" w:cs="仿宋"/>
          <w:highlight w:val="none"/>
        </w:rPr>
      </w:pPr>
      <w:r>
        <w:rPr>
          <w:rFonts w:hint="eastAsia" w:ascii="宋体" w:hAnsi="宋体" w:cs="仿宋"/>
          <w:highlight w:val="none"/>
        </w:rPr>
        <w:t>2. 不存在借用资质、串通投标等情形。如被发现，同意取消磋商和成交候选人资格。</w:t>
      </w:r>
    </w:p>
    <w:p w14:paraId="24E13D0C">
      <w:pPr>
        <w:spacing w:line="360" w:lineRule="auto"/>
        <w:ind w:firstLine="420" w:firstLineChars="200"/>
        <w:rPr>
          <w:rFonts w:ascii="宋体" w:hAnsi="宋体" w:cs="仿宋"/>
          <w:highlight w:val="none"/>
        </w:rPr>
      </w:pPr>
      <w:r>
        <w:rPr>
          <w:rFonts w:hint="eastAsia" w:ascii="宋体" w:hAnsi="宋体" w:cs="仿宋"/>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4048841E">
      <w:pPr>
        <w:spacing w:line="360" w:lineRule="auto"/>
        <w:ind w:firstLine="420" w:firstLineChars="200"/>
        <w:rPr>
          <w:rFonts w:ascii="宋体" w:hAnsi="宋体" w:cs="仿宋"/>
          <w:highlight w:val="none"/>
        </w:rPr>
      </w:pPr>
      <w:r>
        <w:rPr>
          <w:rFonts w:hint="eastAsia" w:ascii="宋体" w:hAnsi="宋体" w:cs="仿宋"/>
          <w:highlight w:val="none"/>
        </w:rPr>
        <w:t>4、我方成交后，严格按照采购文件和我单位响应文件的约定签订合同。</w:t>
      </w:r>
    </w:p>
    <w:p w14:paraId="519CAE63">
      <w:pPr>
        <w:spacing w:line="360" w:lineRule="auto"/>
        <w:ind w:firstLine="420" w:firstLineChars="200"/>
        <w:rPr>
          <w:rFonts w:ascii="宋体" w:hAnsi="宋体" w:cs="仿宋"/>
          <w:highlight w:val="none"/>
        </w:rPr>
      </w:pPr>
      <w:r>
        <w:rPr>
          <w:rFonts w:hint="eastAsia" w:ascii="宋体" w:hAnsi="宋体" w:cs="仿宋"/>
          <w:highlight w:val="none"/>
        </w:rPr>
        <w:t>5、我方同意将达不到供应商资格要求条件仍参与磋商或被行政主管部门、监督管理部门等暂停、取消公共资源交易资格且在限制期内仍参与磋商的情形视为弄虚作假，愿意接受处理。</w:t>
      </w:r>
    </w:p>
    <w:p w14:paraId="0B2AEE9D">
      <w:pPr>
        <w:spacing w:line="360" w:lineRule="auto"/>
        <w:ind w:firstLine="420" w:firstLineChars="200"/>
        <w:rPr>
          <w:rFonts w:ascii="宋体" w:hAnsi="宋体" w:cs="仿宋"/>
          <w:highlight w:val="none"/>
        </w:rPr>
      </w:pPr>
      <w:r>
        <w:rPr>
          <w:rFonts w:hint="eastAsia" w:ascii="宋体" w:hAnsi="宋体" w:cs="仿宋"/>
          <w:highlight w:val="none"/>
        </w:rPr>
        <w:t>6、我方参与磋商如出现报价高于或等于该项目最高限价的情形，同意视为串通投标并接受处理。</w:t>
      </w:r>
    </w:p>
    <w:p w14:paraId="34248ABB">
      <w:pPr>
        <w:spacing w:line="360" w:lineRule="auto"/>
        <w:ind w:firstLine="420" w:firstLineChars="200"/>
        <w:rPr>
          <w:rFonts w:ascii="宋体" w:hAnsi="宋体" w:cs="华文仿宋"/>
          <w:kern w:val="0"/>
          <w:highlight w:val="none"/>
        </w:rPr>
      </w:pPr>
      <w:r>
        <w:rPr>
          <w:rFonts w:hint="eastAsia" w:ascii="宋体" w:hAnsi="宋体" w:cs="华文仿宋"/>
          <w:kern w:val="0"/>
          <w:highlight w:val="none"/>
        </w:rPr>
        <w:t>出现违反上述承诺情形之一的，我单位愿意公开披露我单位违反承诺的不良行为信息，愿意接受处罚并承担所有经济损失和法律责任。</w:t>
      </w:r>
    </w:p>
    <w:p w14:paraId="578F5FEA">
      <w:pPr>
        <w:spacing w:line="360" w:lineRule="auto"/>
        <w:ind w:firstLine="420" w:firstLineChars="200"/>
        <w:rPr>
          <w:rFonts w:ascii="宋体" w:hAnsi="宋体"/>
          <w:highlight w:val="none"/>
        </w:rPr>
      </w:pPr>
      <w:r>
        <w:rPr>
          <w:rFonts w:hint="eastAsia" w:ascii="宋体" w:hAnsi="宋体"/>
          <w:highlight w:val="none"/>
        </w:rPr>
        <w:t xml:space="preserve">后期履约过程中除不可抗力外如我单位放弃（拒绝）履约，同意采购人（甲方）不予退还履约保证金，我单位（乙方）不要求退还履约保证金。 </w:t>
      </w:r>
    </w:p>
    <w:p w14:paraId="11A9E00A">
      <w:pPr>
        <w:spacing w:line="360" w:lineRule="auto"/>
        <w:ind w:firstLine="522" w:firstLineChars="249"/>
        <w:rPr>
          <w:rFonts w:ascii="宋体" w:hAnsi="宋体"/>
          <w:highlight w:val="none"/>
        </w:rPr>
      </w:pPr>
      <w:r>
        <w:rPr>
          <w:rFonts w:hint="eastAsia" w:ascii="宋体" w:hAnsi="宋体"/>
          <w:highlight w:val="none"/>
        </w:rPr>
        <w:t>此承诺不受投标有效期的限制。</w:t>
      </w:r>
    </w:p>
    <w:p w14:paraId="36CD8FDE">
      <w:pPr>
        <w:spacing w:line="360" w:lineRule="auto"/>
        <w:ind w:firstLine="420" w:firstLineChars="200"/>
        <w:rPr>
          <w:rFonts w:ascii="宋体" w:hAnsi="宋体" w:cs="华文仿宋"/>
          <w:kern w:val="0"/>
          <w:highlight w:val="none"/>
        </w:rPr>
      </w:pPr>
    </w:p>
    <w:p w14:paraId="26250651">
      <w:pPr>
        <w:pStyle w:val="29"/>
        <w:widowControl w:val="0"/>
        <w:spacing w:line="360" w:lineRule="auto"/>
        <w:ind w:firstLine="420"/>
        <w:rPr>
          <w:rFonts w:ascii="宋体" w:hAnsi="宋体" w:cs="宋体"/>
          <w:highlight w:val="none"/>
          <w:u w:val="single"/>
        </w:rPr>
      </w:pPr>
      <w:r>
        <w:rPr>
          <w:rFonts w:hint="eastAsia" w:ascii="宋体" w:hAnsi="宋体" w:cs="宋体"/>
          <w:highlight w:val="none"/>
        </w:rPr>
        <w:t xml:space="preserve">                      </w:t>
      </w:r>
      <w:r>
        <w:rPr>
          <w:rFonts w:hint="eastAsia" w:ascii="宋体" w:hAnsi="宋体"/>
          <w:highlight w:val="none"/>
        </w:rPr>
        <w:t>供应商</w:t>
      </w:r>
      <w:r>
        <w:rPr>
          <w:rFonts w:ascii="宋体" w:hAnsi="宋体"/>
          <w:highlight w:val="none"/>
        </w:rPr>
        <w:t>公章</w:t>
      </w:r>
      <w:r>
        <w:rPr>
          <w:rFonts w:hint="eastAsia" w:ascii="宋体" w:hAnsi="宋体" w:cs="宋体"/>
          <w:highlight w:val="none"/>
        </w:rPr>
        <w:t>：</w:t>
      </w:r>
      <w:r>
        <w:rPr>
          <w:rFonts w:hint="eastAsia" w:ascii="宋体" w:hAnsi="宋体" w:cs="宋体"/>
          <w:highlight w:val="none"/>
          <w:u w:val="single"/>
        </w:rPr>
        <w:t xml:space="preserve">                       </w:t>
      </w:r>
    </w:p>
    <w:p w14:paraId="6F7A80B5">
      <w:pPr>
        <w:pStyle w:val="29"/>
        <w:widowControl w:val="0"/>
        <w:spacing w:line="360" w:lineRule="auto"/>
        <w:ind w:firstLine="2362" w:firstLineChars="1125"/>
        <w:rPr>
          <w:rFonts w:ascii="宋体" w:hAnsi="宋体"/>
          <w:highlight w:val="none"/>
        </w:rPr>
      </w:pPr>
      <w:r>
        <w:rPr>
          <w:rFonts w:hint="eastAsia" w:ascii="宋体" w:hAnsi="宋体"/>
          <w:highlight w:val="none"/>
        </w:rPr>
        <w:t>法定代表人或其委托代理人：</w:t>
      </w:r>
      <w:r>
        <w:rPr>
          <w:rFonts w:hint="eastAsia" w:ascii="宋体" w:hAnsi="宋体"/>
          <w:highlight w:val="none"/>
          <w:u w:val="single"/>
        </w:rPr>
        <w:t>（签字或盖章）</w:t>
      </w:r>
    </w:p>
    <w:p w14:paraId="45CD9044">
      <w:pPr>
        <w:pStyle w:val="29"/>
        <w:widowControl w:val="0"/>
        <w:spacing w:line="360" w:lineRule="auto"/>
        <w:ind w:firstLine="420"/>
        <w:jc w:val="center"/>
        <w:rPr>
          <w:rFonts w:ascii="宋体" w:hAnsi="宋体" w:cs="宋体"/>
          <w:highlight w:val="none"/>
        </w:rPr>
      </w:pPr>
      <w:r>
        <w:rPr>
          <w:rFonts w:hint="eastAsia" w:ascii="宋体" w:hAnsi="宋体" w:cs="宋体"/>
          <w:highlight w:val="none"/>
        </w:rPr>
        <w:t xml:space="preserve">                                               年   月    日</w:t>
      </w:r>
    </w:p>
    <w:p w14:paraId="14165AB3">
      <w:pPr>
        <w:widowControl/>
        <w:jc w:val="center"/>
        <w:rPr>
          <w:rFonts w:ascii="宋体" w:hAnsi="宋体"/>
          <w:b/>
          <w:bCs/>
          <w:highlight w:val="none"/>
        </w:rPr>
      </w:pPr>
      <w:r>
        <w:rPr>
          <w:rFonts w:ascii="宋体" w:hAnsi="宋体" w:cs="宋体"/>
          <w:highlight w:val="none"/>
        </w:rPr>
        <w:br w:type="page"/>
      </w:r>
    </w:p>
    <w:p w14:paraId="5AE0AEF4">
      <w:pPr>
        <w:jc w:val="center"/>
        <w:outlineLvl w:val="2"/>
        <w:rPr>
          <w:rFonts w:hint="eastAsia"/>
          <w:b/>
          <w:sz w:val="28"/>
          <w:szCs w:val="28"/>
          <w:highlight w:val="none"/>
          <w:lang w:val="en-US" w:eastAsia="zh-CN"/>
        </w:rPr>
      </w:pPr>
      <w:r>
        <w:rPr>
          <w:rFonts w:hint="eastAsia"/>
          <w:b/>
          <w:sz w:val="28"/>
          <w:szCs w:val="28"/>
          <w:highlight w:val="none"/>
          <w:lang w:val="en-US" w:eastAsia="zh-CN"/>
        </w:rPr>
        <w:t>四、授权书</w:t>
      </w:r>
    </w:p>
    <w:p w14:paraId="01B4483E">
      <w:pPr>
        <w:pStyle w:val="2"/>
        <w:spacing w:line="360" w:lineRule="auto"/>
        <w:rPr>
          <w:b/>
          <w:sz w:val="21"/>
          <w:szCs w:val="21"/>
          <w:highlight w:val="none"/>
        </w:rPr>
      </w:pPr>
    </w:p>
    <w:p w14:paraId="0C29DA0B">
      <w:pPr>
        <w:pStyle w:val="2"/>
        <w:spacing w:before="11" w:line="360" w:lineRule="auto"/>
        <w:rPr>
          <w:b/>
          <w:sz w:val="21"/>
          <w:szCs w:val="21"/>
          <w:highlight w:val="none"/>
        </w:rPr>
      </w:pPr>
    </w:p>
    <w:p w14:paraId="1AEFE977">
      <w:pPr>
        <w:pStyle w:val="2"/>
        <w:spacing w:line="360" w:lineRule="auto"/>
        <w:rPr>
          <w:b/>
          <w:sz w:val="21"/>
          <w:szCs w:val="21"/>
          <w:highlight w:val="none"/>
          <w:lang w:val="en-US"/>
        </w:rPr>
      </w:pPr>
    </w:p>
    <w:p w14:paraId="7191A7F4">
      <w:pPr>
        <w:spacing w:line="360" w:lineRule="auto"/>
        <w:ind w:firstLine="645"/>
        <w:rPr>
          <w:rFonts w:ascii="宋体" w:hAnsi="宋体"/>
          <w:highlight w:val="none"/>
        </w:rPr>
      </w:pPr>
      <w:r>
        <w:rPr>
          <w:rFonts w:hint="eastAsia" w:ascii="宋体" w:hAnsi="宋体"/>
          <w:highlight w:val="none"/>
        </w:rPr>
        <w:t>本授权书声明：</w:t>
      </w:r>
      <w:r>
        <w:rPr>
          <w:rFonts w:hint="eastAsia" w:ascii="宋体" w:hAnsi="宋体"/>
          <w:highlight w:val="none"/>
          <w:u w:val="single"/>
        </w:rPr>
        <w:t xml:space="preserve">           </w:t>
      </w:r>
      <w:r>
        <w:rPr>
          <w:rFonts w:hint="eastAsia" w:ascii="宋体" w:hAnsi="宋体"/>
          <w:highlight w:val="none"/>
        </w:rPr>
        <w:t>公司（工厂）（纳税人识别号：</w:t>
      </w:r>
      <w:r>
        <w:rPr>
          <w:rFonts w:hint="eastAsia" w:ascii="宋体" w:hAnsi="宋体"/>
          <w:highlight w:val="none"/>
          <w:u w:val="single"/>
        </w:rPr>
        <w:t xml:space="preserve">   </w:t>
      </w:r>
      <w:r>
        <w:rPr>
          <w:rFonts w:hint="eastAsia" w:ascii="宋体" w:hAnsi="宋体"/>
          <w:highlight w:val="none"/>
        </w:rPr>
        <w:t>）的</w:t>
      </w:r>
      <w:r>
        <w:rPr>
          <w:rFonts w:hint="eastAsia" w:ascii="宋体" w:hAnsi="宋体"/>
          <w:highlight w:val="none"/>
          <w:u w:val="single"/>
        </w:rPr>
        <w:t xml:space="preserve">       </w:t>
      </w:r>
      <w:r>
        <w:rPr>
          <w:rFonts w:hint="eastAsia" w:ascii="宋体" w:hAnsi="宋体"/>
          <w:highlight w:val="none"/>
        </w:rPr>
        <w:t>（法人代表姓名、职务）代表本公司（工厂）授权本公司（工厂）</w:t>
      </w:r>
      <w:r>
        <w:rPr>
          <w:rFonts w:hint="eastAsia" w:ascii="宋体" w:hAnsi="宋体"/>
          <w:highlight w:val="none"/>
          <w:u w:val="single"/>
        </w:rPr>
        <w:t xml:space="preserve">        </w:t>
      </w:r>
      <w:r>
        <w:rPr>
          <w:rFonts w:hint="eastAsia" w:ascii="宋体" w:hAnsi="宋体"/>
          <w:highlight w:val="none"/>
        </w:rPr>
        <w:t>（被授权人的姓名、职务）为本公司（工厂）的合法代理人，参加</w:t>
      </w:r>
      <w:r>
        <w:rPr>
          <w:rFonts w:hint="eastAsia" w:ascii="宋体" w:hAnsi="宋体"/>
          <w:highlight w:val="none"/>
          <w:u w:val="single"/>
        </w:rPr>
        <w:t xml:space="preserve">                     </w:t>
      </w:r>
      <w:r>
        <w:rPr>
          <w:rFonts w:hint="eastAsia" w:ascii="宋体" w:hAnsi="宋体"/>
          <w:highlight w:val="none"/>
        </w:rPr>
        <w:t>采购项目活动（项目编号</w:t>
      </w:r>
      <w:r>
        <w:rPr>
          <w:rFonts w:hint="eastAsia" w:ascii="宋体" w:hAnsi="宋体"/>
          <w:highlight w:val="none"/>
          <w:u w:val="single"/>
        </w:rPr>
        <w:t xml:space="preserve">：             </w:t>
      </w:r>
      <w:r>
        <w:rPr>
          <w:rFonts w:hint="eastAsia" w:ascii="宋体" w:hAnsi="宋体"/>
          <w:highlight w:val="none"/>
        </w:rPr>
        <w:t>），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5CF573B2">
      <w:pPr>
        <w:spacing w:line="360" w:lineRule="auto"/>
        <w:ind w:firstLine="645"/>
        <w:rPr>
          <w:rFonts w:ascii="宋体" w:hAnsi="宋体"/>
          <w:highlight w:val="none"/>
        </w:rPr>
      </w:pPr>
      <w:r>
        <w:rPr>
          <w:rFonts w:hint="eastAsia" w:ascii="宋体" w:hAnsi="宋体"/>
          <w:highlight w:val="none"/>
        </w:rPr>
        <w:t>本授权书自出具之日起生效。</w:t>
      </w:r>
    </w:p>
    <w:p w14:paraId="2B683F32">
      <w:pPr>
        <w:spacing w:line="360" w:lineRule="auto"/>
        <w:ind w:firstLine="645"/>
        <w:rPr>
          <w:rFonts w:ascii="宋体" w:hAnsi="宋体"/>
          <w:highlight w:val="none"/>
        </w:rPr>
      </w:pPr>
      <w:r>
        <w:rPr>
          <w:rFonts w:hint="eastAsia" w:ascii="宋体" w:hAnsi="宋体"/>
          <w:highlight w:val="none"/>
        </w:rPr>
        <w:t>特此声明。</w:t>
      </w:r>
    </w:p>
    <w:p w14:paraId="65D59CDB">
      <w:pPr>
        <w:spacing w:line="360" w:lineRule="auto"/>
        <w:ind w:firstLine="645"/>
        <w:rPr>
          <w:rFonts w:ascii="宋体" w:hAnsi="宋体"/>
          <w:highlight w:val="none"/>
        </w:rPr>
      </w:pPr>
    </w:p>
    <w:p w14:paraId="2F180ECB">
      <w:pPr>
        <w:spacing w:line="360" w:lineRule="auto"/>
        <w:ind w:firstLine="645"/>
        <w:rPr>
          <w:rFonts w:ascii="宋体" w:hAnsi="宋体"/>
          <w:highlight w:val="none"/>
        </w:rPr>
      </w:pPr>
      <w:r>
        <w:rPr>
          <w:rFonts w:hint="eastAsia" w:ascii="宋体" w:hAnsi="宋体"/>
          <w:highlight w:val="none"/>
        </w:rPr>
        <w:t>法定代表人联系方式：</w:t>
      </w:r>
      <w:r>
        <w:rPr>
          <w:rFonts w:hint="eastAsia" w:ascii="宋体" w:hAnsi="宋体"/>
          <w:highlight w:val="none"/>
          <w:u w:val="single"/>
        </w:rPr>
        <w:t xml:space="preserve">（手机号码）       </w:t>
      </w:r>
    </w:p>
    <w:p w14:paraId="666538CB">
      <w:pPr>
        <w:spacing w:line="360" w:lineRule="auto"/>
        <w:ind w:firstLine="645"/>
        <w:rPr>
          <w:rFonts w:ascii="宋体" w:hAnsi="宋体"/>
          <w:highlight w:val="none"/>
        </w:rPr>
      </w:pPr>
      <w:r>
        <w:rPr>
          <w:rFonts w:hint="eastAsia" w:ascii="宋体" w:hAnsi="宋体"/>
          <w:highlight w:val="none"/>
        </w:rPr>
        <w:t>授权委托人联系方式：</w:t>
      </w:r>
      <w:r>
        <w:rPr>
          <w:rFonts w:hint="eastAsia" w:ascii="宋体" w:hAnsi="宋体"/>
          <w:highlight w:val="none"/>
          <w:u w:val="single"/>
        </w:rPr>
        <w:t xml:space="preserve">（手机号码）       </w:t>
      </w:r>
    </w:p>
    <w:p w14:paraId="1BEE0216">
      <w:pPr>
        <w:spacing w:line="360" w:lineRule="auto"/>
        <w:ind w:firstLine="645"/>
        <w:rPr>
          <w:rFonts w:ascii="宋体" w:hAnsi="宋体"/>
          <w:highlight w:val="none"/>
        </w:rPr>
      </w:pPr>
    </w:p>
    <w:p w14:paraId="6FCB4EC1">
      <w:pPr>
        <w:spacing w:line="360" w:lineRule="auto"/>
        <w:ind w:firstLine="645"/>
        <w:rPr>
          <w:rFonts w:ascii="宋体" w:hAnsi="宋体"/>
          <w:highlight w:val="none"/>
          <w:u w:val="single"/>
        </w:rPr>
      </w:pPr>
      <w:r>
        <w:rPr>
          <w:rFonts w:hint="eastAsia" w:ascii="宋体" w:hAnsi="宋体"/>
          <w:highlight w:val="none"/>
        </w:rPr>
        <w:t>法人代表签字或盖章：</w:t>
      </w:r>
      <w:r>
        <w:rPr>
          <w:rFonts w:hint="eastAsia" w:ascii="宋体" w:hAnsi="宋体"/>
          <w:highlight w:val="none"/>
          <w:u w:val="single"/>
        </w:rPr>
        <w:t xml:space="preserve">                    </w:t>
      </w:r>
    </w:p>
    <w:p w14:paraId="2AA84DFC">
      <w:pPr>
        <w:spacing w:line="360" w:lineRule="auto"/>
        <w:ind w:firstLine="645"/>
        <w:rPr>
          <w:rFonts w:ascii="宋体" w:hAnsi="宋体"/>
          <w:highlight w:val="none"/>
        </w:rPr>
      </w:pPr>
      <w:r>
        <w:rPr>
          <w:rFonts w:hint="eastAsia" w:ascii="宋体" w:hAnsi="宋体"/>
          <w:highlight w:val="none"/>
        </w:rPr>
        <w:t>代理人（被授权人）签字或盖章：</w:t>
      </w:r>
      <w:r>
        <w:rPr>
          <w:rFonts w:hint="eastAsia" w:ascii="宋体" w:hAnsi="宋体"/>
          <w:highlight w:val="none"/>
          <w:u w:val="single"/>
        </w:rPr>
        <w:t xml:space="preserve">              </w:t>
      </w:r>
    </w:p>
    <w:p w14:paraId="5DE3CBB6">
      <w:pPr>
        <w:spacing w:line="360" w:lineRule="auto"/>
        <w:ind w:firstLine="645"/>
        <w:rPr>
          <w:rFonts w:ascii="宋体" w:hAnsi="宋体"/>
          <w:highlight w:val="none"/>
        </w:rPr>
      </w:pPr>
      <w:r>
        <w:rPr>
          <w:rFonts w:hint="eastAsia" w:ascii="宋体" w:hAnsi="宋体"/>
          <w:highlight w:val="none"/>
        </w:rPr>
        <w:t>供应商公章：</w:t>
      </w:r>
      <w:r>
        <w:rPr>
          <w:rFonts w:hint="eastAsia" w:ascii="宋体" w:hAnsi="宋体"/>
          <w:highlight w:val="none"/>
          <w:u w:val="single"/>
        </w:rPr>
        <w:t xml:space="preserve">                       </w:t>
      </w:r>
    </w:p>
    <w:p w14:paraId="2EEB73A9">
      <w:pPr>
        <w:spacing w:line="360" w:lineRule="auto"/>
        <w:ind w:firstLine="645"/>
        <w:rPr>
          <w:rFonts w:ascii="宋体" w:hAnsi="宋体"/>
          <w:highlight w:val="none"/>
        </w:rPr>
      </w:pPr>
      <w:r>
        <w:rPr>
          <w:rFonts w:hint="eastAsia" w:ascii="宋体" w:hAnsi="宋体"/>
          <w:highlight w:val="none"/>
        </w:rPr>
        <w:t>授权委托日期：</w:t>
      </w:r>
      <w:r>
        <w:rPr>
          <w:rFonts w:hint="eastAsia" w:ascii="宋体" w:hAnsi="宋体"/>
          <w:highlight w:val="none"/>
          <w:u w:val="single"/>
        </w:rPr>
        <w:t xml:space="preserve">                 </w:t>
      </w:r>
    </w:p>
    <w:p w14:paraId="5A4B27BC">
      <w:pPr>
        <w:spacing w:line="360" w:lineRule="auto"/>
        <w:rPr>
          <w:rFonts w:ascii="宋体" w:hAnsi="宋体" w:cs="Arial"/>
          <w:b/>
          <w:highlight w:val="none"/>
        </w:rPr>
      </w:pPr>
    </w:p>
    <w:p w14:paraId="10E22E68">
      <w:pPr>
        <w:pStyle w:val="2"/>
        <w:spacing w:before="66" w:line="360" w:lineRule="auto"/>
        <w:rPr>
          <w:sz w:val="21"/>
          <w:szCs w:val="21"/>
          <w:highlight w:val="none"/>
        </w:rPr>
      </w:pPr>
      <w:r>
        <w:rPr>
          <w:sz w:val="21"/>
          <w:szCs w:val="21"/>
          <w:highlight w:val="none"/>
        </w:rPr>
        <w:t>注：</w:t>
      </w:r>
    </w:p>
    <w:p w14:paraId="090A1089">
      <w:pPr>
        <w:pStyle w:val="27"/>
        <w:tabs>
          <w:tab w:val="left" w:pos="896"/>
        </w:tabs>
        <w:spacing w:before="161" w:line="360" w:lineRule="auto"/>
        <w:ind w:left="220" w:firstLine="0"/>
        <w:rPr>
          <w:sz w:val="21"/>
          <w:szCs w:val="21"/>
          <w:highlight w:val="none"/>
        </w:rPr>
      </w:pPr>
      <w:r>
        <w:rPr>
          <w:rFonts w:hint="eastAsia"/>
          <w:sz w:val="21"/>
          <w:szCs w:val="21"/>
          <w:highlight w:val="none"/>
          <w:lang w:val="en-US"/>
        </w:rPr>
        <w:t>1、</w:t>
      </w:r>
      <w:r>
        <w:rPr>
          <w:sz w:val="21"/>
          <w:szCs w:val="21"/>
          <w:highlight w:val="none"/>
        </w:rPr>
        <w:t>本项目只允许有唯一的</w:t>
      </w:r>
      <w:r>
        <w:rPr>
          <w:rFonts w:hint="eastAsia"/>
          <w:sz w:val="21"/>
          <w:szCs w:val="21"/>
          <w:highlight w:val="none"/>
        </w:rPr>
        <w:t>供应商</w:t>
      </w:r>
      <w:r>
        <w:rPr>
          <w:sz w:val="21"/>
          <w:szCs w:val="21"/>
          <w:highlight w:val="none"/>
        </w:rPr>
        <w:t>授权代表，提供</w:t>
      </w:r>
      <w:r>
        <w:rPr>
          <w:rFonts w:hint="eastAsia"/>
          <w:sz w:val="21"/>
          <w:szCs w:val="21"/>
          <w:highlight w:val="none"/>
          <w:lang w:val="en-US" w:eastAsia="zh-CN"/>
        </w:rPr>
        <w:t>法人及被授权人</w:t>
      </w:r>
      <w:r>
        <w:rPr>
          <w:sz w:val="21"/>
          <w:szCs w:val="21"/>
          <w:highlight w:val="none"/>
        </w:rPr>
        <w:t>身份证明扫描件；</w:t>
      </w:r>
    </w:p>
    <w:p w14:paraId="74C19572">
      <w:pPr>
        <w:pStyle w:val="27"/>
        <w:tabs>
          <w:tab w:val="left" w:pos="462"/>
        </w:tabs>
        <w:spacing w:line="360" w:lineRule="auto"/>
        <w:ind w:left="220" w:firstLine="0"/>
        <w:rPr>
          <w:sz w:val="21"/>
          <w:szCs w:val="21"/>
          <w:highlight w:val="none"/>
        </w:rPr>
      </w:pPr>
      <w:r>
        <w:rPr>
          <w:rFonts w:hint="eastAsia"/>
          <w:sz w:val="21"/>
          <w:szCs w:val="21"/>
          <w:highlight w:val="none"/>
          <w:lang w:val="en-US"/>
        </w:rPr>
        <w:t>2、</w:t>
      </w:r>
      <w:r>
        <w:rPr>
          <w:sz w:val="21"/>
          <w:szCs w:val="21"/>
          <w:highlight w:val="none"/>
        </w:rPr>
        <w:t>法定代表人参加</w:t>
      </w:r>
      <w:r>
        <w:rPr>
          <w:rFonts w:hint="eastAsia"/>
          <w:sz w:val="21"/>
          <w:szCs w:val="21"/>
          <w:highlight w:val="none"/>
        </w:rPr>
        <w:t>磋商</w:t>
      </w:r>
      <w:r>
        <w:rPr>
          <w:sz w:val="21"/>
          <w:szCs w:val="21"/>
          <w:highlight w:val="none"/>
        </w:rPr>
        <w:t>的无需提供授权书，提供身份证明扫描件。</w:t>
      </w:r>
    </w:p>
    <w:p w14:paraId="3DB01DAF">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3C7976C5">
      <w:pPr>
        <w:spacing w:before="240" w:beforeLines="100" w:after="240" w:afterLines="100"/>
        <w:jc w:val="center"/>
        <w:outlineLvl w:val="2"/>
        <w:rPr>
          <w:b/>
          <w:sz w:val="28"/>
          <w:szCs w:val="28"/>
          <w:highlight w:val="none"/>
        </w:rPr>
      </w:pPr>
      <w:r>
        <w:rPr>
          <w:rFonts w:hint="eastAsia"/>
          <w:b/>
          <w:sz w:val="28"/>
          <w:szCs w:val="28"/>
          <w:highlight w:val="none"/>
          <w:lang w:val="en-US" w:eastAsia="zh-CN"/>
        </w:rPr>
        <w:t>五</w:t>
      </w:r>
      <w:r>
        <w:rPr>
          <w:b/>
          <w:sz w:val="28"/>
          <w:szCs w:val="28"/>
          <w:highlight w:val="none"/>
        </w:rPr>
        <w:t>、商务响应表</w:t>
      </w:r>
    </w:p>
    <w:p w14:paraId="72F9ADB1">
      <w:pPr>
        <w:pStyle w:val="2"/>
        <w:spacing w:line="360" w:lineRule="auto"/>
        <w:rPr>
          <w:b/>
          <w:sz w:val="21"/>
          <w:szCs w:val="21"/>
          <w:highlight w:val="none"/>
        </w:rPr>
      </w:pPr>
    </w:p>
    <w:p w14:paraId="751140E2">
      <w:pPr>
        <w:pStyle w:val="2"/>
        <w:spacing w:before="11" w:line="360" w:lineRule="auto"/>
        <w:rPr>
          <w:b/>
          <w:sz w:val="21"/>
          <w:szCs w:val="21"/>
          <w:highlight w:val="none"/>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54439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6FC9F8FD">
            <w:pPr>
              <w:pStyle w:val="25"/>
              <w:spacing w:before="155" w:line="360" w:lineRule="auto"/>
              <w:ind w:left="101" w:right="92"/>
              <w:jc w:val="center"/>
              <w:rPr>
                <w:b/>
                <w:sz w:val="21"/>
                <w:szCs w:val="21"/>
                <w:highlight w:val="none"/>
                <w:lang w:eastAsia="en-US"/>
              </w:rPr>
            </w:pPr>
            <w:r>
              <w:rPr>
                <w:b/>
                <w:sz w:val="21"/>
                <w:szCs w:val="21"/>
                <w:highlight w:val="none"/>
                <w:lang w:eastAsia="en-US"/>
              </w:rPr>
              <w:t>序号</w:t>
            </w:r>
          </w:p>
        </w:tc>
        <w:tc>
          <w:tcPr>
            <w:tcW w:w="1916" w:type="dxa"/>
            <w:shd w:val="clear" w:color="auto" w:fill="auto"/>
          </w:tcPr>
          <w:p w14:paraId="1DEB6FB9">
            <w:pPr>
              <w:pStyle w:val="25"/>
              <w:spacing w:before="155" w:line="360" w:lineRule="auto"/>
              <w:ind w:left="454" w:right="447"/>
              <w:jc w:val="center"/>
              <w:rPr>
                <w:b/>
                <w:sz w:val="21"/>
                <w:szCs w:val="21"/>
                <w:highlight w:val="none"/>
                <w:lang w:eastAsia="en-US"/>
              </w:rPr>
            </w:pPr>
            <w:r>
              <w:rPr>
                <w:b/>
                <w:sz w:val="21"/>
                <w:szCs w:val="21"/>
                <w:highlight w:val="none"/>
                <w:lang w:eastAsia="en-US"/>
              </w:rPr>
              <w:t>商务条款</w:t>
            </w:r>
          </w:p>
        </w:tc>
        <w:tc>
          <w:tcPr>
            <w:tcW w:w="2497" w:type="dxa"/>
            <w:shd w:val="clear" w:color="auto" w:fill="auto"/>
          </w:tcPr>
          <w:p w14:paraId="2E2D303B">
            <w:pPr>
              <w:pStyle w:val="25"/>
              <w:spacing w:before="155" w:line="360" w:lineRule="auto"/>
              <w:ind w:left="524"/>
              <w:rPr>
                <w:b/>
                <w:sz w:val="21"/>
                <w:szCs w:val="21"/>
                <w:highlight w:val="none"/>
                <w:lang w:eastAsia="en-US"/>
              </w:rPr>
            </w:pPr>
            <w:r>
              <w:rPr>
                <w:b/>
                <w:sz w:val="21"/>
                <w:szCs w:val="21"/>
                <w:highlight w:val="none"/>
                <w:lang w:eastAsia="en-US"/>
              </w:rPr>
              <w:t>磋商文件要求</w:t>
            </w:r>
          </w:p>
        </w:tc>
        <w:tc>
          <w:tcPr>
            <w:tcW w:w="2576" w:type="dxa"/>
            <w:shd w:val="clear" w:color="auto" w:fill="auto"/>
          </w:tcPr>
          <w:p w14:paraId="0D8ADC5A">
            <w:pPr>
              <w:pStyle w:val="25"/>
              <w:spacing w:before="155" w:line="360" w:lineRule="auto"/>
              <w:ind w:left="682"/>
              <w:rPr>
                <w:b/>
                <w:sz w:val="21"/>
                <w:szCs w:val="21"/>
                <w:highlight w:val="none"/>
                <w:lang w:eastAsia="en-US"/>
              </w:rPr>
            </w:pPr>
            <w:r>
              <w:rPr>
                <w:b/>
                <w:sz w:val="21"/>
                <w:szCs w:val="21"/>
                <w:highlight w:val="none"/>
                <w:lang w:eastAsia="en-US"/>
              </w:rPr>
              <w:t>供应商承诺</w:t>
            </w:r>
          </w:p>
        </w:tc>
        <w:tc>
          <w:tcPr>
            <w:tcW w:w="811" w:type="dxa"/>
            <w:shd w:val="clear" w:color="auto" w:fill="auto"/>
          </w:tcPr>
          <w:p w14:paraId="015BD9F2">
            <w:pPr>
              <w:pStyle w:val="25"/>
              <w:spacing w:line="360" w:lineRule="auto"/>
              <w:ind w:left="161"/>
              <w:rPr>
                <w:b/>
                <w:sz w:val="21"/>
                <w:szCs w:val="21"/>
                <w:highlight w:val="none"/>
                <w:lang w:eastAsia="en-US"/>
              </w:rPr>
            </w:pPr>
            <w:r>
              <w:rPr>
                <w:b/>
                <w:sz w:val="21"/>
                <w:szCs w:val="21"/>
                <w:highlight w:val="none"/>
                <w:lang w:eastAsia="en-US"/>
              </w:rPr>
              <w:t>偏离</w:t>
            </w:r>
          </w:p>
          <w:p w14:paraId="437F5848">
            <w:pPr>
              <w:pStyle w:val="25"/>
              <w:spacing w:before="4" w:line="360" w:lineRule="auto"/>
              <w:ind w:left="161"/>
              <w:rPr>
                <w:b/>
                <w:sz w:val="21"/>
                <w:szCs w:val="21"/>
                <w:highlight w:val="none"/>
                <w:lang w:eastAsia="en-US"/>
              </w:rPr>
            </w:pPr>
            <w:r>
              <w:rPr>
                <w:b/>
                <w:sz w:val="21"/>
                <w:szCs w:val="21"/>
                <w:highlight w:val="none"/>
                <w:lang w:eastAsia="en-US"/>
              </w:rPr>
              <w:t>说明</w:t>
            </w:r>
          </w:p>
        </w:tc>
      </w:tr>
      <w:tr w14:paraId="3C9D2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75CEB18E">
            <w:pPr>
              <w:pStyle w:val="25"/>
              <w:spacing w:before="71" w:line="360" w:lineRule="auto"/>
              <w:ind w:left="9"/>
              <w:jc w:val="center"/>
              <w:rPr>
                <w:sz w:val="21"/>
                <w:szCs w:val="21"/>
                <w:highlight w:val="none"/>
                <w:lang w:eastAsia="en-US"/>
              </w:rPr>
            </w:pPr>
            <w:r>
              <w:rPr>
                <w:sz w:val="21"/>
                <w:szCs w:val="21"/>
                <w:highlight w:val="none"/>
                <w:lang w:eastAsia="en-US"/>
              </w:rPr>
              <w:t>1</w:t>
            </w:r>
          </w:p>
        </w:tc>
        <w:tc>
          <w:tcPr>
            <w:tcW w:w="1916" w:type="dxa"/>
            <w:shd w:val="clear" w:color="auto" w:fill="auto"/>
          </w:tcPr>
          <w:p w14:paraId="68E8FC48">
            <w:pPr>
              <w:pStyle w:val="25"/>
              <w:spacing w:before="71" w:line="360" w:lineRule="auto"/>
              <w:ind w:left="454" w:right="446"/>
              <w:jc w:val="center"/>
              <w:rPr>
                <w:sz w:val="21"/>
                <w:szCs w:val="21"/>
                <w:highlight w:val="none"/>
                <w:lang w:eastAsia="en-US"/>
              </w:rPr>
            </w:pPr>
            <w:r>
              <w:rPr>
                <w:sz w:val="21"/>
                <w:szCs w:val="21"/>
                <w:highlight w:val="none"/>
                <w:lang w:eastAsia="en-US"/>
              </w:rPr>
              <w:t>付款方式</w:t>
            </w:r>
          </w:p>
        </w:tc>
        <w:tc>
          <w:tcPr>
            <w:tcW w:w="2497" w:type="dxa"/>
            <w:shd w:val="clear" w:color="auto" w:fill="auto"/>
          </w:tcPr>
          <w:p w14:paraId="1B6258C5">
            <w:pPr>
              <w:pStyle w:val="25"/>
              <w:spacing w:line="360" w:lineRule="auto"/>
              <w:rPr>
                <w:sz w:val="21"/>
                <w:szCs w:val="21"/>
                <w:highlight w:val="none"/>
                <w:lang w:eastAsia="en-US"/>
              </w:rPr>
            </w:pPr>
          </w:p>
        </w:tc>
        <w:tc>
          <w:tcPr>
            <w:tcW w:w="2576" w:type="dxa"/>
            <w:shd w:val="clear" w:color="auto" w:fill="auto"/>
          </w:tcPr>
          <w:p w14:paraId="13DEA6BE">
            <w:pPr>
              <w:pStyle w:val="25"/>
              <w:spacing w:line="360" w:lineRule="auto"/>
              <w:rPr>
                <w:sz w:val="21"/>
                <w:szCs w:val="21"/>
                <w:highlight w:val="none"/>
                <w:lang w:eastAsia="en-US"/>
              </w:rPr>
            </w:pPr>
          </w:p>
        </w:tc>
        <w:tc>
          <w:tcPr>
            <w:tcW w:w="811" w:type="dxa"/>
            <w:shd w:val="clear" w:color="auto" w:fill="auto"/>
          </w:tcPr>
          <w:p w14:paraId="259CECBA">
            <w:pPr>
              <w:pStyle w:val="25"/>
              <w:spacing w:line="360" w:lineRule="auto"/>
              <w:rPr>
                <w:sz w:val="21"/>
                <w:szCs w:val="21"/>
                <w:highlight w:val="none"/>
                <w:lang w:eastAsia="en-US"/>
              </w:rPr>
            </w:pPr>
          </w:p>
        </w:tc>
      </w:tr>
      <w:tr w14:paraId="53C6C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21A65EBB">
            <w:pPr>
              <w:pStyle w:val="25"/>
              <w:spacing w:before="72" w:line="360" w:lineRule="auto"/>
              <w:ind w:left="9"/>
              <w:jc w:val="center"/>
              <w:rPr>
                <w:sz w:val="21"/>
                <w:szCs w:val="21"/>
                <w:highlight w:val="none"/>
                <w:lang w:eastAsia="en-US"/>
              </w:rPr>
            </w:pPr>
            <w:r>
              <w:rPr>
                <w:sz w:val="21"/>
                <w:szCs w:val="21"/>
                <w:highlight w:val="none"/>
                <w:lang w:eastAsia="en-US"/>
              </w:rPr>
              <w:t>2</w:t>
            </w:r>
          </w:p>
        </w:tc>
        <w:tc>
          <w:tcPr>
            <w:tcW w:w="1916" w:type="dxa"/>
            <w:shd w:val="clear" w:color="auto" w:fill="auto"/>
          </w:tcPr>
          <w:p w14:paraId="69BA0866">
            <w:pPr>
              <w:pStyle w:val="25"/>
              <w:spacing w:before="72" w:line="360" w:lineRule="auto"/>
              <w:ind w:left="454" w:right="446"/>
              <w:jc w:val="center"/>
              <w:rPr>
                <w:sz w:val="21"/>
                <w:szCs w:val="21"/>
                <w:highlight w:val="none"/>
                <w:lang w:eastAsia="en-US"/>
              </w:rPr>
            </w:pPr>
            <w:r>
              <w:rPr>
                <w:sz w:val="21"/>
                <w:szCs w:val="21"/>
                <w:highlight w:val="none"/>
                <w:lang w:eastAsia="en-US"/>
              </w:rPr>
              <w:t>服务地点</w:t>
            </w:r>
          </w:p>
        </w:tc>
        <w:tc>
          <w:tcPr>
            <w:tcW w:w="2497" w:type="dxa"/>
            <w:shd w:val="clear" w:color="auto" w:fill="auto"/>
          </w:tcPr>
          <w:p w14:paraId="5CECA00D">
            <w:pPr>
              <w:pStyle w:val="25"/>
              <w:spacing w:line="360" w:lineRule="auto"/>
              <w:rPr>
                <w:sz w:val="21"/>
                <w:szCs w:val="21"/>
                <w:highlight w:val="none"/>
                <w:lang w:eastAsia="en-US"/>
              </w:rPr>
            </w:pPr>
          </w:p>
        </w:tc>
        <w:tc>
          <w:tcPr>
            <w:tcW w:w="2576" w:type="dxa"/>
            <w:shd w:val="clear" w:color="auto" w:fill="auto"/>
          </w:tcPr>
          <w:p w14:paraId="2471236A">
            <w:pPr>
              <w:pStyle w:val="25"/>
              <w:spacing w:line="360" w:lineRule="auto"/>
              <w:rPr>
                <w:sz w:val="21"/>
                <w:szCs w:val="21"/>
                <w:highlight w:val="none"/>
                <w:lang w:eastAsia="en-US"/>
              </w:rPr>
            </w:pPr>
          </w:p>
        </w:tc>
        <w:tc>
          <w:tcPr>
            <w:tcW w:w="811" w:type="dxa"/>
            <w:shd w:val="clear" w:color="auto" w:fill="auto"/>
          </w:tcPr>
          <w:p w14:paraId="615FA5EE">
            <w:pPr>
              <w:pStyle w:val="25"/>
              <w:spacing w:line="360" w:lineRule="auto"/>
              <w:rPr>
                <w:sz w:val="21"/>
                <w:szCs w:val="21"/>
                <w:highlight w:val="none"/>
                <w:lang w:eastAsia="en-US"/>
              </w:rPr>
            </w:pPr>
          </w:p>
        </w:tc>
      </w:tr>
      <w:tr w14:paraId="62B8B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5ED1DC5C">
            <w:pPr>
              <w:pStyle w:val="25"/>
              <w:spacing w:before="71" w:line="360" w:lineRule="auto"/>
              <w:ind w:left="9"/>
              <w:jc w:val="center"/>
              <w:rPr>
                <w:sz w:val="21"/>
                <w:szCs w:val="21"/>
                <w:highlight w:val="none"/>
                <w:lang w:eastAsia="en-US"/>
              </w:rPr>
            </w:pPr>
            <w:r>
              <w:rPr>
                <w:sz w:val="21"/>
                <w:szCs w:val="21"/>
                <w:highlight w:val="none"/>
                <w:lang w:eastAsia="en-US"/>
              </w:rPr>
              <w:t>3</w:t>
            </w:r>
          </w:p>
        </w:tc>
        <w:tc>
          <w:tcPr>
            <w:tcW w:w="1916" w:type="dxa"/>
            <w:shd w:val="clear" w:color="auto" w:fill="auto"/>
          </w:tcPr>
          <w:p w14:paraId="712F1CCF">
            <w:pPr>
              <w:pStyle w:val="25"/>
              <w:spacing w:before="71" w:line="360" w:lineRule="auto"/>
              <w:ind w:left="454" w:right="446"/>
              <w:jc w:val="center"/>
              <w:rPr>
                <w:sz w:val="21"/>
                <w:szCs w:val="21"/>
                <w:highlight w:val="none"/>
                <w:lang w:eastAsia="en-US"/>
              </w:rPr>
            </w:pPr>
            <w:r>
              <w:rPr>
                <w:sz w:val="21"/>
                <w:szCs w:val="21"/>
                <w:highlight w:val="none"/>
                <w:lang w:eastAsia="en-US"/>
              </w:rPr>
              <w:t>服务期限</w:t>
            </w:r>
          </w:p>
        </w:tc>
        <w:tc>
          <w:tcPr>
            <w:tcW w:w="2497" w:type="dxa"/>
            <w:shd w:val="clear" w:color="auto" w:fill="auto"/>
          </w:tcPr>
          <w:p w14:paraId="31E381EE">
            <w:pPr>
              <w:pStyle w:val="25"/>
              <w:spacing w:line="360" w:lineRule="auto"/>
              <w:rPr>
                <w:sz w:val="21"/>
                <w:szCs w:val="21"/>
                <w:highlight w:val="none"/>
                <w:lang w:eastAsia="en-US"/>
              </w:rPr>
            </w:pPr>
          </w:p>
        </w:tc>
        <w:tc>
          <w:tcPr>
            <w:tcW w:w="2576" w:type="dxa"/>
            <w:shd w:val="clear" w:color="auto" w:fill="auto"/>
          </w:tcPr>
          <w:p w14:paraId="5EB55280">
            <w:pPr>
              <w:pStyle w:val="25"/>
              <w:spacing w:line="360" w:lineRule="auto"/>
              <w:rPr>
                <w:sz w:val="21"/>
                <w:szCs w:val="21"/>
                <w:highlight w:val="none"/>
                <w:lang w:eastAsia="en-US"/>
              </w:rPr>
            </w:pPr>
          </w:p>
        </w:tc>
        <w:tc>
          <w:tcPr>
            <w:tcW w:w="811" w:type="dxa"/>
            <w:shd w:val="clear" w:color="auto" w:fill="auto"/>
          </w:tcPr>
          <w:p w14:paraId="2E289D6F">
            <w:pPr>
              <w:pStyle w:val="25"/>
              <w:spacing w:line="360" w:lineRule="auto"/>
              <w:rPr>
                <w:sz w:val="21"/>
                <w:szCs w:val="21"/>
                <w:highlight w:val="none"/>
                <w:lang w:eastAsia="en-US"/>
              </w:rPr>
            </w:pPr>
          </w:p>
        </w:tc>
      </w:tr>
      <w:tr w14:paraId="33FF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3CD2A515">
            <w:pPr>
              <w:pStyle w:val="25"/>
              <w:spacing w:before="72" w:line="360" w:lineRule="auto"/>
              <w:ind w:left="9"/>
              <w:jc w:val="center"/>
              <w:rPr>
                <w:sz w:val="21"/>
                <w:szCs w:val="21"/>
                <w:highlight w:val="none"/>
                <w:lang w:eastAsia="en-US"/>
              </w:rPr>
            </w:pPr>
            <w:r>
              <w:rPr>
                <w:w w:val="200"/>
                <w:sz w:val="21"/>
                <w:szCs w:val="21"/>
                <w:highlight w:val="none"/>
                <w:lang w:eastAsia="en-US"/>
              </w:rPr>
              <w:t>„</w:t>
            </w:r>
          </w:p>
        </w:tc>
        <w:tc>
          <w:tcPr>
            <w:tcW w:w="1916" w:type="dxa"/>
            <w:shd w:val="clear" w:color="auto" w:fill="auto"/>
          </w:tcPr>
          <w:p w14:paraId="786F24D0">
            <w:pPr>
              <w:pStyle w:val="25"/>
              <w:spacing w:line="360" w:lineRule="auto"/>
              <w:rPr>
                <w:sz w:val="21"/>
                <w:szCs w:val="21"/>
                <w:highlight w:val="none"/>
                <w:lang w:eastAsia="en-US"/>
              </w:rPr>
            </w:pPr>
          </w:p>
        </w:tc>
        <w:tc>
          <w:tcPr>
            <w:tcW w:w="2497" w:type="dxa"/>
            <w:shd w:val="clear" w:color="auto" w:fill="auto"/>
          </w:tcPr>
          <w:p w14:paraId="6A0F9101">
            <w:pPr>
              <w:pStyle w:val="25"/>
              <w:spacing w:line="360" w:lineRule="auto"/>
              <w:rPr>
                <w:sz w:val="21"/>
                <w:szCs w:val="21"/>
                <w:highlight w:val="none"/>
                <w:lang w:eastAsia="en-US"/>
              </w:rPr>
            </w:pPr>
          </w:p>
        </w:tc>
        <w:tc>
          <w:tcPr>
            <w:tcW w:w="2576" w:type="dxa"/>
            <w:shd w:val="clear" w:color="auto" w:fill="auto"/>
          </w:tcPr>
          <w:p w14:paraId="29E98E14">
            <w:pPr>
              <w:pStyle w:val="25"/>
              <w:spacing w:line="360" w:lineRule="auto"/>
              <w:rPr>
                <w:sz w:val="21"/>
                <w:szCs w:val="21"/>
                <w:highlight w:val="none"/>
                <w:lang w:eastAsia="en-US"/>
              </w:rPr>
            </w:pPr>
          </w:p>
        </w:tc>
        <w:tc>
          <w:tcPr>
            <w:tcW w:w="811" w:type="dxa"/>
            <w:shd w:val="clear" w:color="auto" w:fill="auto"/>
          </w:tcPr>
          <w:p w14:paraId="5711E3C5">
            <w:pPr>
              <w:pStyle w:val="25"/>
              <w:spacing w:line="360" w:lineRule="auto"/>
              <w:rPr>
                <w:sz w:val="21"/>
                <w:szCs w:val="21"/>
                <w:highlight w:val="none"/>
                <w:lang w:eastAsia="en-US"/>
              </w:rPr>
            </w:pPr>
          </w:p>
        </w:tc>
      </w:tr>
    </w:tbl>
    <w:p w14:paraId="53623A30">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029A3CC2">
      <w:pPr>
        <w:spacing w:before="240" w:beforeLines="100" w:after="240" w:afterLines="100"/>
        <w:jc w:val="center"/>
        <w:outlineLvl w:val="2"/>
        <w:rPr>
          <w:b/>
          <w:sz w:val="28"/>
          <w:szCs w:val="28"/>
          <w:highlight w:val="none"/>
        </w:rPr>
      </w:pPr>
      <w:r>
        <w:rPr>
          <w:rFonts w:hint="eastAsia"/>
          <w:b/>
          <w:sz w:val="28"/>
          <w:szCs w:val="28"/>
          <w:highlight w:val="none"/>
          <w:lang w:val="en-US" w:eastAsia="zh-CN"/>
        </w:rPr>
        <w:t>六</w:t>
      </w:r>
      <w:r>
        <w:rPr>
          <w:b/>
          <w:sz w:val="28"/>
          <w:szCs w:val="28"/>
          <w:highlight w:val="none"/>
        </w:rPr>
        <w:t>、</w:t>
      </w:r>
      <w:r>
        <w:rPr>
          <w:rFonts w:hint="eastAsia"/>
          <w:b/>
          <w:sz w:val="28"/>
          <w:szCs w:val="28"/>
          <w:highlight w:val="none"/>
        </w:rPr>
        <w:t>人员配备（格式自拟）</w:t>
      </w:r>
    </w:p>
    <w:p w14:paraId="57045180">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45E65AE8">
      <w:pPr>
        <w:spacing w:before="240" w:beforeLines="100" w:after="240" w:afterLines="100"/>
        <w:jc w:val="center"/>
        <w:outlineLvl w:val="2"/>
        <w:rPr>
          <w:rFonts w:hint="default"/>
          <w:b/>
          <w:sz w:val="28"/>
          <w:szCs w:val="28"/>
          <w:highlight w:val="none"/>
          <w:lang w:val="en-US" w:eastAsia="zh-CN"/>
        </w:rPr>
      </w:pPr>
      <w:r>
        <w:rPr>
          <w:rFonts w:hint="eastAsia"/>
          <w:b/>
          <w:sz w:val="28"/>
          <w:szCs w:val="28"/>
          <w:highlight w:val="none"/>
          <w:lang w:val="en-US" w:eastAsia="zh-CN"/>
        </w:rPr>
        <w:t>七、服务方案（格式自拟）</w:t>
      </w:r>
    </w:p>
    <w:p w14:paraId="704620DC">
      <w:pPr>
        <w:rPr>
          <w:rFonts w:hint="eastAsia"/>
          <w:b/>
          <w:sz w:val="28"/>
          <w:szCs w:val="28"/>
          <w:highlight w:val="none"/>
          <w:lang w:val="en-US" w:eastAsia="zh-CN"/>
        </w:rPr>
      </w:pPr>
      <w:r>
        <w:rPr>
          <w:rFonts w:hint="eastAsia"/>
          <w:b/>
          <w:sz w:val="28"/>
          <w:szCs w:val="28"/>
          <w:highlight w:val="none"/>
          <w:lang w:val="en-US" w:eastAsia="zh-CN"/>
        </w:rPr>
        <w:br w:type="page"/>
      </w:r>
    </w:p>
    <w:p w14:paraId="2640CED8">
      <w:pPr>
        <w:spacing w:before="240" w:beforeLines="100" w:after="240" w:afterLines="100"/>
        <w:jc w:val="center"/>
        <w:outlineLvl w:val="2"/>
        <w:rPr>
          <w:b/>
          <w:sz w:val="28"/>
          <w:szCs w:val="28"/>
          <w:highlight w:val="none"/>
        </w:rPr>
      </w:pPr>
      <w:r>
        <w:rPr>
          <w:rFonts w:hint="eastAsia"/>
          <w:b/>
          <w:sz w:val="28"/>
          <w:szCs w:val="28"/>
          <w:highlight w:val="none"/>
          <w:lang w:val="en-US" w:eastAsia="zh-CN"/>
        </w:rPr>
        <w:t>八</w:t>
      </w:r>
      <w:r>
        <w:rPr>
          <w:b/>
          <w:sz w:val="28"/>
          <w:szCs w:val="28"/>
          <w:highlight w:val="none"/>
        </w:rPr>
        <w:t>、其他相关证明材料</w:t>
      </w:r>
    </w:p>
    <w:p w14:paraId="0ECA1BF2">
      <w:pPr>
        <w:pStyle w:val="2"/>
        <w:spacing w:before="160" w:line="360" w:lineRule="auto"/>
        <w:ind w:left="220" w:right="361" w:firstLine="479"/>
        <w:rPr>
          <w:sz w:val="21"/>
          <w:szCs w:val="21"/>
          <w:highlight w:val="none"/>
        </w:rPr>
      </w:pPr>
      <w:r>
        <w:rPr>
          <w:sz w:val="21"/>
          <w:szCs w:val="21"/>
          <w:highlight w:val="none"/>
        </w:rPr>
        <w:t>提供符合磋商邀请（磋商公告</w:t>
      </w:r>
      <w:r>
        <w:rPr>
          <w:spacing w:val="-118"/>
          <w:sz w:val="21"/>
          <w:szCs w:val="21"/>
          <w:highlight w:val="none"/>
        </w:rPr>
        <w:t>）</w:t>
      </w:r>
      <w:r>
        <w:rPr>
          <w:spacing w:val="-1"/>
          <w:sz w:val="21"/>
          <w:szCs w:val="21"/>
          <w:highlight w:val="none"/>
        </w:rPr>
        <w:t>、采购需求及评审方法和标准规定的相关证</w:t>
      </w:r>
      <w:r>
        <w:rPr>
          <w:sz w:val="21"/>
          <w:szCs w:val="21"/>
          <w:highlight w:val="none"/>
        </w:rPr>
        <w:t>明文件。</w:t>
      </w:r>
    </w:p>
    <w:p w14:paraId="4B126CC5">
      <w:pPr>
        <w:pStyle w:val="2"/>
        <w:spacing w:line="360" w:lineRule="auto"/>
        <w:rPr>
          <w:sz w:val="21"/>
          <w:szCs w:val="21"/>
          <w:highlight w:val="none"/>
        </w:rPr>
      </w:pPr>
    </w:p>
    <w:p w14:paraId="4C420D42">
      <w:pPr>
        <w:pStyle w:val="2"/>
        <w:spacing w:line="360" w:lineRule="auto"/>
        <w:rPr>
          <w:sz w:val="21"/>
          <w:szCs w:val="21"/>
          <w:highlight w:val="none"/>
        </w:rPr>
      </w:pPr>
    </w:p>
    <w:p w14:paraId="6907F0F1">
      <w:pPr>
        <w:pStyle w:val="2"/>
        <w:spacing w:before="2" w:line="360" w:lineRule="auto"/>
        <w:rPr>
          <w:b/>
          <w:sz w:val="28"/>
          <w:szCs w:val="28"/>
          <w:highlight w:val="none"/>
        </w:rPr>
      </w:pPr>
    </w:p>
    <w:p w14:paraId="69CF93D8">
      <w:pPr>
        <w:spacing w:line="360" w:lineRule="auto"/>
        <w:rPr>
          <w:rFonts w:ascii="宋体" w:hAnsi="宋体"/>
          <w:highlight w:val="none"/>
        </w:rPr>
      </w:pPr>
    </w:p>
    <w:p w14:paraId="7FBBFC60">
      <w:pPr>
        <w:widowControl/>
        <w:spacing w:line="360" w:lineRule="auto"/>
        <w:jc w:val="left"/>
        <w:rPr>
          <w:highlight w:val="none"/>
        </w:rPr>
      </w:pPr>
    </w:p>
    <w:p w14:paraId="6C57CDBA">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48B3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36627">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336627">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2">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3">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4">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6">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7">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8">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9">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0">
    <w:nsid w:val="36570520"/>
    <w:multiLevelType w:val="singleLevel"/>
    <w:tmpl w:val="36570520"/>
    <w:lvl w:ilvl="0" w:tentative="0">
      <w:start w:val="1"/>
      <w:numFmt w:val="decimal"/>
      <w:lvlText w:val="%1."/>
      <w:lvlJc w:val="left"/>
      <w:pPr>
        <w:tabs>
          <w:tab w:val="left" w:pos="312"/>
        </w:tabs>
      </w:pPr>
    </w:lvl>
  </w:abstractNum>
  <w:abstractNum w:abstractNumId="11">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2">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3">
    <w:nsid w:val="48310A2F"/>
    <w:multiLevelType w:val="singleLevel"/>
    <w:tmpl w:val="48310A2F"/>
    <w:lvl w:ilvl="0" w:tentative="0">
      <w:start w:val="3"/>
      <w:numFmt w:val="chineseCounting"/>
      <w:suff w:val="nothing"/>
      <w:lvlText w:val="%1、"/>
      <w:lvlJc w:val="left"/>
      <w:rPr>
        <w:rFonts w:hint="eastAsia"/>
      </w:rPr>
    </w:lvl>
  </w:abstractNum>
  <w:abstractNum w:abstractNumId="14">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5">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6">
    <w:nsid w:val="58930FBA"/>
    <w:multiLevelType w:val="singleLevel"/>
    <w:tmpl w:val="58930FBA"/>
    <w:lvl w:ilvl="0" w:tentative="0">
      <w:start w:val="7"/>
      <w:numFmt w:val="chineseCounting"/>
      <w:suff w:val="nothing"/>
      <w:lvlText w:val="%1、"/>
      <w:lvlJc w:val="left"/>
      <w:rPr>
        <w:rFonts w:hint="eastAsia"/>
      </w:rPr>
    </w:lvl>
  </w:abstractNum>
  <w:abstractNum w:abstractNumId="17">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8">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19">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0">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num w:numId="1">
    <w:abstractNumId w:val="0"/>
  </w:num>
  <w:num w:numId="2">
    <w:abstractNumId w:val="16"/>
  </w:num>
  <w:num w:numId="3">
    <w:abstractNumId w:val="11"/>
  </w:num>
  <w:num w:numId="4">
    <w:abstractNumId w:val="6"/>
  </w:num>
  <w:num w:numId="5">
    <w:abstractNumId w:val="3"/>
  </w:num>
  <w:num w:numId="6">
    <w:abstractNumId w:val="2"/>
  </w:num>
  <w:num w:numId="7">
    <w:abstractNumId w:val="7"/>
  </w:num>
  <w:num w:numId="8">
    <w:abstractNumId w:val="4"/>
  </w:num>
  <w:num w:numId="9">
    <w:abstractNumId w:val="8"/>
  </w:num>
  <w:num w:numId="10">
    <w:abstractNumId w:val="12"/>
  </w:num>
  <w:num w:numId="11">
    <w:abstractNumId w:val="1"/>
  </w:num>
  <w:num w:numId="12">
    <w:abstractNumId w:val="17"/>
  </w:num>
  <w:num w:numId="13">
    <w:abstractNumId w:val="5"/>
  </w:num>
  <w:num w:numId="14">
    <w:abstractNumId w:val="15"/>
  </w:num>
  <w:num w:numId="15">
    <w:abstractNumId w:val="20"/>
  </w:num>
  <w:num w:numId="16">
    <w:abstractNumId w:val="13"/>
  </w:num>
  <w:num w:numId="17">
    <w:abstractNumId w:val="10"/>
  </w:num>
  <w:num w:numId="18">
    <w:abstractNumId w:val="19"/>
  </w:num>
  <w:num w:numId="19">
    <w:abstractNumId w:val="14"/>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TRiYjgzNGQ5MDI5NDI0ODQ3OWIzZDRjYjA0OWMifQ=="/>
    <w:docVar w:name="KSO_WPS_MARK_KEY" w:val="0e8bec8e-0404-412b-a521-7dd9a2a771ff"/>
  </w:docVars>
  <w:rsids>
    <w:rsidRoot w:val="0F162D44"/>
    <w:rsid w:val="00072C34"/>
    <w:rsid w:val="001113BD"/>
    <w:rsid w:val="00270BE1"/>
    <w:rsid w:val="005C6ADC"/>
    <w:rsid w:val="00973FB8"/>
    <w:rsid w:val="009E20E5"/>
    <w:rsid w:val="00B5796A"/>
    <w:rsid w:val="00F431B9"/>
    <w:rsid w:val="01115B19"/>
    <w:rsid w:val="01161381"/>
    <w:rsid w:val="01687703"/>
    <w:rsid w:val="016B7DD3"/>
    <w:rsid w:val="01747E56"/>
    <w:rsid w:val="01913DF5"/>
    <w:rsid w:val="01A967CF"/>
    <w:rsid w:val="01B42948"/>
    <w:rsid w:val="01CA3F1A"/>
    <w:rsid w:val="023D0B8F"/>
    <w:rsid w:val="02D432A2"/>
    <w:rsid w:val="02E42DB9"/>
    <w:rsid w:val="03196F07"/>
    <w:rsid w:val="037D7666"/>
    <w:rsid w:val="03B537CF"/>
    <w:rsid w:val="04003C23"/>
    <w:rsid w:val="040F20B8"/>
    <w:rsid w:val="041651F4"/>
    <w:rsid w:val="041D688F"/>
    <w:rsid w:val="042913CB"/>
    <w:rsid w:val="04510922"/>
    <w:rsid w:val="04D40B6F"/>
    <w:rsid w:val="04EB042F"/>
    <w:rsid w:val="04EE6171"/>
    <w:rsid w:val="05025778"/>
    <w:rsid w:val="052878D5"/>
    <w:rsid w:val="05290DD8"/>
    <w:rsid w:val="05483AD3"/>
    <w:rsid w:val="05AD7DDA"/>
    <w:rsid w:val="05E01F5E"/>
    <w:rsid w:val="06163BD1"/>
    <w:rsid w:val="06383B48"/>
    <w:rsid w:val="065A37E2"/>
    <w:rsid w:val="067601CC"/>
    <w:rsid w:val="06824DC3"/>
    <w:rsid w:val="06A50AB1"/>
    <w:rsid w:val="07034156"/>
    <w:rsid w:val="07061550"/>
    <w:rsid w:val="07133C6D"/>
    <w:rsid w:val="075C1AB8"/>
    <w:rsid w:val="07723089"/>
    <w:rsid w:val="07A1571D"/>
    <w:rsid w:val="08065580"/>
    <w:rsid w:val="08183C31"/>
    <w:rsid w:val="08874912"/>
    <w:rsid w:val="08931509"/>
    <w:rsid w:val="08B80F70"/>
    <w:rsid w:val="08BC2BDF"/>
    <w:rsid w:val="08C629D1"/>
    <w:rsid w:val="08EB6C4F"/>
    <w:rsid w:val="091A6930"/>
    <w:rsid w:val="091C14FF"/>
    <w:rsid w:val="094E3682"/>
    <w:rsid w:val="0972111F"/>
    <w:rsid w:val="09774987"/>
    <w:rsid w:val="09840E52"/>
    <w:rsid w:val="09976DD7"/>
    <w:rsid w:val="099C43EE"/>
    <w:rsid w:val="09BE25B6"/>
    <w:rsid w:val="0A00672A"/>
    <w:rsid w:val="0A081A83"/>
    <w:rsid w:val="0A8729A8"/>
    <w:rsid w:val="0A9926DB"/>
    <w:rsid w:val="0AFD0EBC"/>
    <w:rsid w:val="0B380146"/>
    <w:rsid w:val="0B462863"/>
    <w:rsid w:val="0B8D2240"/>
    <w:rsid w:val="0B901D30"/>
    <w:rsid w:val="0B93537C"/>
    <w:rsid w:val="0BB43C70"/>
    <w:rsid w:val="0BE5207C"/>
    <w:rsid w:val="0C0A1AE2"/>
    <w:rsid w:val="0C126BE9"/>
    <w:rsid w:val="0C1C7A68"/>
    <w:rsid w:val="0C3721AC"/>
    <w:rsid w:val="0C48085D"/>
    <w:rsid w:val="0C4D19CF"/>
    <w:rsid w:val="0C740124"/>
    <w:rsid w:val="0D136775"/>
    <w:rsid w:val="0DA6583B"/>
    <w:rsid w:val="0DBC0BBA"/>
    <w:rsid w:val="0E0D7668"/>
    <w:rsid w:val="0E2D7D0A"/>
    <w:rsid w:val="0E417312"/>
    <w:rsid w:val="0E651252"/>
    <w:rsid w:val="0E6B438E"/>
    <w:rsid w:val="0E8C2C83"/>
    <w:rsid w:val="0ECC12D1"/>
    <w:rsid w:val="0EEF6D6E"/>
    <w:rsid w:val="0F06154A"/>
    <w:rsid w:val="0F162D44"/>
    <w:rsid w:val="0F49109B"/>
    <w:rsid w:val="0F672DA8"/>
    <w:rsid w:val="0F775C56"/>
    <w:rsid w:val="0FA83AEC"/>
    <w:rsid w:val="0FD7617F"/>
    <w:rsid w:val="10233173"/>
    <w:rsid w:val="102D3FF1"/>
    <w:rsid w:val="10725EA8"/>
    <w:rsid w:val="10755FC9"/>
    <w:rsid w:val="107C2883"/>
    <w:rsid w:val="10C761F4"/>
    <w:rsid w:val="10CC380A"/>
    <w:rsid w:val="10DB1C9F"/>
    <w:rsid w:val="10E30B54"/>
    <w:rsid w:val="110805BA"/>
    <w:rsid w:val="115A7068"/>
    <w:rsid w:val="11902A8A"/>
    <w:rsid w:val="11F748B7"/>
    <w:rsid w:val="11FE3E97"/>
    <w:rsid w:val="12A10762"/>
    <w:rsid w:val="12A85BB1"/>
    <w:rsid w:val="12BC78AF"/>
    <w:rsid w:val="12F11306"/>
    <w:rsid w:val="13076D7C"/>
    <w:rsid w:val="130B4B50"/>
    <w:rsid w:val="13367661"/>
    <w:rsid w:val="13833F28"/>
    <w:rsid w:val="13DD188A"/>
    <w:rsid w:val="13E946D3"/>
    <w:rsid w:val="141352AC"/>
    <w:rsid w:val="142B0848"/>
    <w:rsid w:val="143F0EDB"/>
    <w:rsid w:val="14733F9D"/>
    <w:rsid w:val="14A8633C"/>
    <w:rsid w:val="14C8078D"/>
    <w:rsid w:val="14D709D0"/>
    <w:rsid w:val="15086DDB"/>
    <w:rsid w:val="150D619F"/>
    <w:rsid w:val="152A4FA3"/>
    <w:rsid w:val="1548367B"/>
    <w:rsid w:val="15634011"/>
    <w:rsid w:val="15714980"/>
    <w:rsid w:val="15747FCD"/>
    <w:rsid w:val="15C90318"/>
    <w:rsid w:val="15C955B9"/>
    <w:rsid w:val="16585B40"/>
    <w:rsid w:val="167A5AB7"/>
    <w:rsid w:val="16BA0495"/>
    <w:rsid w:val="171657DF"/>
    <w:rsid w:val="17832749"/>
    <w:rsid w:val="17A10E21"/>
    <w:rsid w:val="180D7837"/>
    <w:rsid w:val="18D45952"/>
    <w:rsid w:val="18DE057F"/>
    <w:rsid w:val="18ED431E"/>
    <w:rsid w:val="19066D08"/>
    <w:rsid w:val="19232435"/>
    <w:rsid w:val="192E743F"/>
    <w:rsid w:val="193747F9"/>
    <w:rsid w:val="193F08F1"/>
    <w:rsid w:val="198253AE"/>
    <w:rsid w:val="199C5D44"/>
    <w:rsid w:val="19A10856"/>
    <w:rsid w:val="19AD7F51"/>
    <w:rsid w:val="19AF3CC9"/>
    <w:rsid w:val="19C21C4E"/>
    <w:rsid w:val="19DE2002"/>
    <w:rsid w:val="1A420699"/>
    <w:rsid w:val="1A4B1C44"/>
    <w:rsid w:val="1A604FC3"/>
    <w:rsid w:val="1AAC1FB7"/>
    <w:rsid w:val="1AB01AA7"/>
    <w:rsid w:val="1AB85319"/>
    <w:rsid w:val="1AD11A1D"/>
    <w:rsid w:val="1ADF413A"/>
    <w:rsid w:val="1AED4AA9"/>
    <w:rsid w:val="1B0E43FD"/>
    <w:rsid w:val="1B2129A5"/>
    <w:rsid w:val="1B4D72F6"/>
    <w:rsid w:val="1B7900EB"/>
    <w:rsid w:val="1BAB226E"/>
    <w:rsid w:val="1BC11A92"/>
    <w:rsid w:val="1C00080C"/>
    <w:rsid w:val="1C071B9A"/>
    <w:rsid w:val="1C204A0A"/>
    <w:rsid w:val="1C2564C4"/>
    <w:rsid w:val="1C4E1577"/>
    <w:rsid w:val="1C784846"/>
    <w:rsid w:val="1C7F5BD5"/>
    <w:rsid w:val="1CDD0B4D"/>
    <w:rsid w:val="1CE65C54"/>
    <w:rsid w:val="1CFA16FF"/>
    <w:rsid w:val="1CFF4A55"/>
    <w:rsid w:val="1D077978"/>
    <w:rsid w:val="1D1F2520"/>
    <w:rsid w:val="1D7019C1"/>
    <w:rsid w:val="1D970CFC"/>
    <w:rsid w:val="1DB96EC4"/>
    <w:rsid w:val="1DE63A32"/>
    <w:rsid w:val="1E0C3498"/>
    <w:rsid w:val="1E122A78"/>
    <w:rsid w:val="1E3E73CA"/>
    <w:rsid w:val="1EA57449"/>
    <w:rsid w:val="1EC04283"/>
    <w:rsid w:val="1EDA0135"/>
    <w:rsid w:val="1EE91A2B"/>
    <w:rsid w:val="1F436F19"/>
    <w:rsid w:val="1F443106"/>
    <w:rsid w:val="1F4B4494"/>
    <w:rsid w:val="1FE30229"/>
    <w:rsid w:val="204C2272"/>
    <w:rsid w:val="206B05CD"/>
    <w:rsid w:val="209B6D55"/>
    <w:rsid w:val="20A4285D"/>
    <w:rsid w:val="20C462AC"/>
    <w:rsid w:val="20CE2AF5"/>
    <w:rsid w:val="211014F1"/>
    <w:rsid w:val="214D44F3"/>
    <w:rsid w:val="21E5472C"/>
    <w:rsid w:val="22227F71"/>
    <w:rsid w:val="222F3BF9"/>
    <w:rsid w:val="223905D4"/>
    <w:rsid w:val="22486A69"/>
    <w:rsid w:val="22D718B2"/>
    <w:rsid w:val="22E5075C"/>
    <w:rsid w:val="22EB3FC4"/>
    <w:rsid w:val="232A616E"/>
    <w:rsid w:val="23492A98"/>
    <w:rsid w:val="237613B4"/>
    <w:rsid w:val="238E0DF3"/>
    <w:rsid w:val="23AB72AF"/>
    <w:rsid w:val="248A15BB"/>
    <w:rsid w:val="249266C1"/>
    <w:rsid w:val="24F627AC"/>
    <w:rsid w:val="25021151"/>
    <w:rsid w:val="25056E93"/>
    <w:rsid w:val="251315B0"/>
    <w:rsid w:val="25951FC5"/>
    <w:rsid w:val="25997CFE"/>
    <w:rsid w:val="25CC72F2"/>
    <w:rsid w:val="25DC5E46"/>
    <w:rsid w:val="26215C16"/>
    <w:rsid w:val="26282E39"/>
    <w:rsid w:val="263E440B"/>
    <w:rsid w:val="2641214D"/>
    <w:rsid w:val="264D0AF2"/>
    <w:rsid w:val="264E03C6"/>
    <w:rsid w:val="26924756"/>
    <w:rsid w:val="269E759F"/>
    <w:rsid w:val="26B30125"/>
    <w:rsid w:val="26B446CD"/>
    <w:rsid w:val="26BB1EFF"/>
    <w:rsid w:val="26F31699"/>
    <w:rsid w:val="26F45411"/>
    <w:rsid w:val="27037402"/>
    <w:rsid w:val="27286E69"/>
    <w:rsid w:val="273852FE"/>
    <w:rsid w:val="27421CD9"/>
    <w:rsid w:val="276500BD"/>
    <w:rsid w:val="279369D8"/>
    <w:rsid w:val="27A209C9"/>
    <w:rsid w:val="27C070A1"/>
    <w:rsid w:val="27EC60E8"/>
    <w:rsid w:val="2829733C"/>
    <w:rsid w:val="28485A15"/>
    <w:rsid w:val="28650375"/>
    <w:rsid w:val="28A54C15"/>
    <w:rsid w:val="28D42E04"/>
    <w:rsid w:val="28E868B0"/>
    <w:rsid w:val="291C47AB"/>
    <w:rsid w:val="29310257"/>
    <w:rsid w:val="298F31CF"/>
    <w:rsid w:val="2A0616E3"/>
    <w:rsid w:val="2A2E4796"/>
    <w:rsid w:val="2A5F7045"/>
    <w:rsid w:val="2A703001"/>
    <w:rsid w:val="2A862824"/>
    <w:rsid w:val="2AB949A8"/>
    <w:rsid w:val="2ABB0720"/>
    <w:rsid w:val="2AC1560A"/>
    <w:rsid w:val="2B1C4F36"/>
    <w:rsid w:val="2B2160A9"/>
    <w:rsid w:val="2B7E52A9"/>
    <w:rsid w:val="2B936FA7"/>
    <w:rsid w:val="2BA03472"/>
    <w:rsid w:val="2BA34321"/>
    <w:rsid w:val="2BCA4992"/>
    <w:rsid w:val="2C2E0A7D"/>
    <w:rsid w:val="2C2F7028"/>
    <w:rsid w:val="2C475FE3"/>
    <w:rsid w:val="2C8763E0"/>
    <w:rsid w:val="2C98683F"/>
    <w:rsid w:val="2CA174A1"/>
    <w:rsid w:val="2CD31625"/>
    <w:rsid w:val="2D4D0AFD"/>
    <w:rsid w:val="2D662499"/>
    <w:rsid w:val="2D720E3E"/>
    <w:rsid w:val="2DA37249"/>
    <w:rsid w:val="2DB72CF5"/>
    <w:rsid w:val="2DBB0A37"/>
    <w:rsid w:val="2DBD47AF"/>
    <w:rsid w:val="2DEE2BBA"/>
    <w:rsid w:val="2E2A1718"/>
    <w:rsid w:val="2E5642BC"/>
    <w:rsid w:val="2E70537D"/>
    <w:rsid w:val="2EA27501"/>
    <w:rsid w:val="2EA74B17"/>
    <w:rsid w:val="2EB85D4C"/>
    <w:rsid w:val="2ED31DB0"/>
    <w:rsid w:val="2EF7784D"/>
    <w:rsid w:val="2EFC4E63"/>
    <w:rsid w:val="2F0106CB"/>
    <w:rsid w:val="2F120B2A"/>
    <w:rsid w:val="2F1403FE"/>
    <w:rsid w:val="2F4D1B62"/>
    <w:rsid w:val="2F7C41F6"/>
    <w:rsid w:val="2F9B0B20"/>
    <w:rsid w:val="2FB41BE1"/>
    <w:rsid w:val="2FE1052E"/>
    <w:rsid w:val="30112B90"/>
    <w:rsid w:val="301D7787"/>
    <w:rsid w:val="30204B81"/>
    <w:rsid w:val="30420F9B"/>
    <w:rsid w:val="304376ED"/>
    <w:rsid w:val="30A00E26"/>
    <w:rsid w:val="31221E76"/>
    <w:rsid w:val="318F0210"/>
    <w:rsid w:val="31DB3455"/>
    <w:rsid w:val="326B48D2"/>
    <w:rsid w:val="327F2033"/>
    <w:rsid w:val="32957AA8"/>
    <w:rsid w:val="329655CE"/>
    <w:rsid w:val="32D06D32"/>
    <w:rsid w:val="32F3657D"/>
    <w:rsid w:val="331D7A9E"/>
    <w:rsid w:val="33791178"/>
    <w:rsid w:val="338F274A"/>
    <w:rsid w:val="33AA7583"/>
    <w:rsid w:val="33CA3782"/>
    <w:rsid w:val="33D22636"/>
    <w:rsid w:val="34034EE6"/>
    <w:rsid w:val="34050C5E"/>
    <w:rsid w:val="34052A0C"/>
    <w:rsid w:val="341E3ACD"/>
    <w:rsid w:val="344C4197"/>
    <w:rsid w:val="34A22009"/>
    <w:rsid w:val="34AF4725"/>
    <w:rsid w:val="34B32468"/>
    <w:rsid w:val="34C44675"/>
    <w:rsid w:val="34D128EE"/>
    <w:rsid w:val="354C01C6"/>
    <w:rsid w:val="35906305"/>
    <w:rsid w:val="359A2BF8"/>
    <w:rsid w:val="35A46254"/>
    <w:rsid w:val="35B30245"/>
    <w:rsid w:val="35CF32D1"/>
    <w:rsid w:val="361E7DB5"/>
    <w:rsid w:val="362A675A"/>
    <w:rsid w:val="363E3A9C"/>
    <w:rsid w:val="36E0150E"/>
    <w:rsid w:val="37256F21"/>
    <w:rsid w:val="373C4996"/>
    <w:rsid w:val="37620175"/>
    <w:rsid w:val="37E868CC"/>
    <w:rsid w:val="37F25055"/>
    <w:rsid w:val="3802360F"/>
    <w:rsid w:val="383E473E"/>
    <w:rsid w:val="38D8249D"/>
    <w:rsid w:val="38EF2398"/>
    <w:rsid w:val="3902576C"/>
    <w:rsid w:val="395C1F04"/>
    <w:rsid w:val="395D29A2"/>
    <w:rsid w:val="39783C80"/>
    <w:rsid w:val="39900FC9"/>
    <w:rsid w:val="39A95BE7"/>
    <w:rsid w:val="39C173D5"/>
    <w:rsid w:val="39DF3CFF"/>
    <w:rsid w:val="3A001D2F"/>
    <w:rsid w:val="3A0F6392"/>
    <w:rsid w:val="3A267238"/>
    <w:rsid w:val="3A2F07E2"/>
    <w:rsid w:val="3A4F678F"/>
    <w:rsid w:val="3A6366DE"/>
    <w:rsid w:val="3AAB1E22"/>
    <w:rsid w:val="3AC0143A"/>
    <w:rsid w:val="3AE0789A"/>
    <w:rsid w:val="3AE31E89"/>
    <w:rsid w:val="3AF410E4"/>
    <w:rsid w:val="3B003F2D"/>
    <w:rsid w:val="3B163750"/>
    <w:rsid w:val="3B3360B0"/>
    <w:rsid w:val="3B6B584A"/>
    <w:rsid w:val="3B9B253A"/>
    <w:rsid w:val="3BD31641"/>
    <w:rsid w:val="3BE64ED1"/>
    <w:rsid w:val="3C1063F2"/>
    <w:rsid w:val="3C3519B4"/>
    <w:rsid w:val="3C384E8C"/>
    <w:rsid w:val="3C664263"/>
    <w:rsid w:val="3C6A3D54"/>
    <w:rsid w:val="3CB21257"/>
    <w:rsid w:val="3CC72F54"/>
    <w:rsid w:val="3CE55188"/>
    <w:rsid w:val="3D2A703F"/>
    <w:rsid w:val="3D385C00"/>
    <w:rsid w:val="3D477BF1"/>
    <w:rsid w:val="3D5F318D"/>
    <w:rsid w:val="3D85696B"/>
    <w:rsid w:val="3D8A3F82"/>
    <w:rsid w:val="3DA212CB"/>
    <w:rsid w:val="3DCC00F6"/>
    <w:rsid w:val="3DF633C5"/>
    <w:rsid w:val="3E173A67"/>
    <w:rsid w:val="3E216694"/>
    <w:rsid w:val="3E241CE0"/>
    <w:rsid w:val="3E917E06"/>
    <w:rsid w:val="3E9926CE"/>
    <w:rsid w:val="3EB72B54"/>
    <w:rsid w:val="3EB968CD"/>
    <w:rsid w:val="3F2074EF"/>
    <w:rsid w:val="3F280D1E"/>
    <w:rsid w:val="3F41401F"/>
    <w:rsid w:val="3F4F7231"/>
    <w:rsid w:val="3F5C54AA"/>
    <w:rsid w:val="3F626F64"/>
    <w:rsid w:val="3F7C18FE"/>
    <w:rsid w:val="3FAE03FB"/>
    <w:rsid w:val="3FDB2873"/>
    <w:rsid w:val="3FDF2363"/>
    <w:rsid w:val="3FEC70FD"/>
    <w:rsid w:val="3FFD4EDF"/>
    <w:rsid w:val="3FFD735E"/>
    <w:rsid w:val="403F72A5"/>
    <w:rsid w:val="406E7B8B"/>
    <w:rsid w:val="409475F1"/>
    <w:rsid w:val="409A0980"/>
    <w:rsid w:val="40A64FD2"/>
    <w:rsid w:val="40AC7220"/>
    <w:rsid w:val="41326E0A"/>
    <w:rsid w:val="417E3DFD"/>
    <w:rsid w:val="41807B75"/>
    <w:rsid w:val="41EC0D67"/>
    <w:rsid w:val="422C3859"/>
    <w:rsid w:val="422E312E"/>
    <w:rsid w:val="424C7A58"/>
    <w:rsid w:val="42DC702D"/>
    <w:rsid w:val="43140575"/>
    <w:rsid w:val="431B4638"/>
    <w:rsid w:val="4326474D"/>
    <w:rsid w:val="435B2648"/>
    <w:rsid w:val="43CC2BFE"/>
    <w:rsid w:val="43F54889"/>
    <w:rsid w:val="43F65ECD"/>
    <w:rsid w:val="4427252A"/>
    <w:rsid w:val="44366C11"/>
    <w:rsid w:val="444B446B"/>
    <w:rsid w:val="4486067B"/>
    <w:rsid w:val="44AE67A8"/>
    <w:rsid w:val="44B10046"/>
    <w:rsid w:val="44C47D79"/>
    <w:rsid w:val="44CB735A"/>
    <w:rsid w:val="4513485D"/>
    <w:rsid w:val="45196317"/>
    <w:rsid w:val="45322F35"/>
    <w:rsid w:val="45343151"/>
    <w:rsid w:val="453E7B2C"/>
    <w:rsid w:val="454D4212"/>
    <w:rsid w:val="45DB35CC"/>
    <w:rsid w:val="45EF0E26"/>
    <w:rsid w:val="45FC0CDF"/>
    <w:rsid w:val="45FD79E7"/>
    <w:rsid w:val="46454EEA"/>
    <w:rsid w:val="467F21AA"/>
    <w:rsid w:val="469F45FA"/>
    <w:rsid w:val="46A9191C"/>
    <w:rsid w:val="46B67B95"/>
    <w:rsid w:val="46C329DE"/>
    <w:rsid w:val="46E82445"/>
    <w:rsid w:val="46F10BCE"/>
    <w:rsid w:val="479003E6"/>
    <w:rsid w:val="479F35E6"/>
    <w:rsid w:val="47A520E4"/>
    <w:rsid w:val="47C307BC"/>
    <w:rsid w:val="482B265C"/>
    <w:rsid w:val="482D3E87"/>
    <w:rsid w:val="485F3453"/>
    <w:rsid w:val="48691363"/>
    <w:rsid w:val="489363E0"/>
    <w:rsid w:val="48C20A74"/>
    <w:rsid w:val="48D52555"/>
    <w:rsid w:val="49331971"/>
    <w:rsid w:val="49441489"/>
    <w:rsid w:val="49677683"/>
    <w:rsid w:val="498B70B7"/>
    <w:rsid w:val="49A40179"/>
    <w:rsid w:val="49A81A17"/>
    <w:rsid w:val="49B44860"/>
    <w:rsid w:val="49C10D2B"/>
    <w:rsid w:val="49CE3431"/>
    <w:rsid w:val="49EC3FFA"/>
    <w:rsid w:val="49F96717"/>
    <w:rsid w:val="4A0D21C2"/>
    <w:rsid w:val="4A9D3546"/>
    <w:rsid w:val="4B5E0F27"/>
    <w:rsid w:val="4B693428"/>
    <w:rsid w:val="4B7E5126"/>
    <w:rsid w:val="4B9D30D2"/>
    <w:rsid w:val="4BD56D10"/>
    <w:rsid w:val="4BE4509D"/>
    <w:rsid w:val="4C2442A0"/>
    <w:rsid w:val="4C3B3017"/>
    <w:rsid w:val="4C3E2B07"/>
    <w:rsid w:val="4C63431C"/>
    <w:rsid w:val="4C6836E0"/>
    <w:rsid w:val="4C8F5111"/>
    <w:rsid w:val="4C912C37"/>
    <w:rsid w:val="4CA1441E"/>
    <w:rsid w:val="4CB608EF"/>
    <w:rsid w:val="4CBE1552"/>
    <w:rsid w:val="4CC56D84"/>
    <w:rsid w:val="4D3A32CE"/>
    <w:rsid w:val="4E0F475B"/>
    <w:rsid w:val="4E52289A"/>
    <w:rsid w:val="4EF474AD"/>
    <w:rsid w:val="4F1162B1"/>
    <w:rsid w:val="4F24241E"/>
    <w:rsid w:val="4F365D17"/>
    <w:rsid w:val="4F6710FB"/>
    <w:rsid w:val="4F6C1739"/>
    <w:rsid w:val="4FAC1446"/>
    <w:rsid w:val="501E0C85"/>
    <w:rsid w:val="507E34D2"/>
    <w:rsid w:val="50A76ECD"/>
    <w:rsid w:val="513F7105"/>
    <w:rsid w:val="51532BB1"/>
    <w:rsid w:val="518510D7"/>
    <w:rsid w:val="51AF590D"/>
    <w:rsid w:val="51BA2C30"/>
    <w:rsid w:val="51CB2747"/>
    <w:rsid w:val="51E60623"/>
    <w:rsid w:val="520738F3"/>
    <w:rsid w:val="520E0886"/>
    <w:rsid w:val="528F5E6A"/>
    <w:rsid w:val="5295513C"/>
    <w:rsid w:val="52B7716F"/>
    <w:rsid w:val="52F67C97"/>
    <w:rsid w:val="53397B84"/>
    <w:rsid w:val="53456529"/>
    <w:rsid w:val="535B7AFB"/>
    <w:rsid w:val="53C71634"/>
    <w:rsid w:val="543D5452"/>
    <w:rsid w:val="544B4013"/>
    <w:rsid w:val="54686973"/>
    <w:rsid w:val="550B4E12"/>
    <w:rsid w:val="55466588"/>
    <w:rsid w:val="55545149"/>
    <w:rsid w:val="555E7D76"/>
    <w:rsid w:val="55603AEE"/>
    <w:rsid w:val="55747599"/>
    <w:rsid w:val="55780E38"/>
    <w:rsid w:val="558A0B6B"/>
    <w:rsid w:val="562D578A"/>
    <w:rsid w:val="563A433F"/>
    <w:rsid w:val="563F1955"/>
    <w:rsid w:val="565F7902"/>
    <w:rsid w:val="56ED315F"/>
    <w:rsid w:val="574D00A2"/>
    <w:rsid w:val="577D0987"/>
    <w:rsid w:val="5804751B"/>
    <w:rsid w:val="58350677"/>
    <w:rsid w:val="58A65CBC"/>
    <w:rsid w:val="58BA52C3"/>
    <w:rsid w:val="59036B1F"/>
    <w:rsid w:val="5966544B"/>
    <w:rsid w:val="59771406"/>
    <w:rsid w:val="59851D75"/>
    <w:rsid w:val="59934492"/>
    <w:rsid w:val="59C52172"/>
    <w:rsid w:val="59D979CB"/>
    <w:rsid w:val="5A1465EF"/>
    <w:rsid w:val="5A492DA3"/>
    <w:rsid w:val="5A910A3C"/>
    <w:rsid w:val="5AD20FEA"/>
    <w:rsid w:val="5ADF7263"/>
    <w:rsid w:val="5B2F1F99"/>
    <w:rsid w:val="5B322515"/>
    <w:rsid w:val="5B667984"/>
    <w:rsid w:val="5B6B4F9B"/>
    <w:rsid w:val="5B6F05E7"/>
    <w:rsid w:val="5B9067AF"/>
    <w:rsid w:val="5C2171A5"/>
    <w:rsid w:val="5C8400C2"/>
    <w:rsid w:val="5CB564CD"/>
    <w:rsid w:val="5CDA4186"/>
    <w:rsid w:val="5CDB3A5A"/>
    <w:rsid w:val="5CDC1CBA"/>
    <w:rsid w:val="5CEE7C31"/>
    <w:rsid w:val="5CF60894"/>
    <w:rsid w:val="5D0631CD"/>
    <w:rsid w:val="5D3F048D"/>
    <w:rsid w:val="5D543F38"/>
    <w:rsid w:val="5D635F29"/>
    <w:rsid w:val="5D8F6D1E"/>
    <w:rsid w:val="5D94028A"/>
    <w:rsid w:val="5D9702C9"/>
    <w:rsid w:val="5DBE7B6A"/>
    <w:rsid w:val="5DDF67A4"/>
    <w:rsid w:val="5DFB43B4"/>
    <w:rsid w:val="5E0D2339"/>
    <w:rsid w:val="5E0D40E7"/>
    <w:rsid w:val="5E1436C8"/>
    <w:rsid w:val="5EA70098"/>
    <w:rsid w:val="5EBF3633"/>
    <w:rsid w:val="5EF534F9"/>
    <w:rsid w:val="5F1A2F60"/>
    <w:rsid w:val="5FB52C88"/>
    <w:rsid w:val="5FC66C44"/>
    <w:rsid w:val="5FC829BC"/>
    <w:rsid w:val="600969EF"/>
    <w:rsid w:val="600A6B30"/>
    <w:rsid w:val="60317A26"/>
    <w:rsid w:val="60771CEC"/>
    <w:rsid w:val="60805044"/>
    <w:rsid w:val="608A7C71"/>
    <w:rsid w:val="608F34D9"/>
    <w:rsid w:val="609B00D0"/>
    <w:rsid w:val="609F3CEB"/>
    <w:rsid w:val="60EE6452"/>
    <w:rsid w:val="60F4333C"/>
    <w:rsid w:val="611D0AE5"/>
    <w:rsid w:val="6125527F"/>
    <w:rsid w:val="612956DC"/>
    <w:rsid w:val="6166248C"/>
    <w:rsid w:val="61B72CE8"/>
    <w:rsid w:val="61B76844"/>
    <w:rsid w:val="61E6537B"/>
    <w:rsid w:val="6200643D"/>
    <w:rsid w:val="623C31ED"/>
    <w:rsid w:val="62400720"/>
    <w:rsid w:val="6271733B"/>
    <w:rsid w:val="62DD22DA"/>
    <w:rsid w:val="62DD422B"/>
    <w:rsid w:val="62DF24F6"/>
    <w:rsid w:val="62F31AFE"/>
    <w:rsid w:val="631101D6"/>
    <w:rsid w:val="631F6D97"/>
    <w:rsid w:val="63512CC8"/>
    <w:rsid w:val="635B58F5"/>
    <w:rsid w:val="635E2806"/>
    <w:rsid w:val="63B05C41"/>
    <w:rsid w:val="63B86B82"/>
    <w:rsid w:val="64063AB3"/>
    <w:rsid w:val="6432524A"/>
    <w:rsid w:val="646D3B32"/>
    <w:rsid w:val="64721148"/>
    <w:rsid w:val="6477675E"/>
    <w:rsid w:val="64D23995"/>
    <w:rsid w:val="64F63B27"/>
    <w:rsid w:val="64F953C5"/>
    <w:rsid w:val="65000502"/>
    <w:rsid w:val="657A02B4"/>
    <w:rsid w:val="65D5373C"/>
    <w:rsid w:val="66342B59"/>
    <w:rsid w:val="66884C53"/>
    <w:rsid w:val="669B6734"/>
    <w:rsid w:val="66BB29CE"/>
    <w:rsid w:val="66C7577B"/>
    <w:rsid w:val="66EE505C"/>
    <w:rsid w:val="66F2031E"/>
    <w:rsid w:val="675B4115"/>
    <w:rsid w:val="675D60DF"/>
    <w:rsid w:val="676948DB"/>
    <w:rsid w:val="678B4940"/>
    <w:rsid w:val="679A69EC"/>
    <w:rsid w:val="67B51A77"/>
    <w:rsid w:val="67F26828"/>
    <w:rsid w:val="681C38A5"/>
    <w:rsid w:val="689773CF"/>
    <w:rsid w:val="68C83A2C"/>
    <w:rsid w:val="68CA50AF"/>
    <w:rsid w:val="68F22857"/>
    <w:rsid w:val="69366BE8"/>
    <w:rsid w:val="695232F6"/>
    <w:rsid w:val="696E6382"/>
    <w:rsid w:val="69766FE4"/>
    <w:rsid w:val="6990454A"/>
    <w:rsid w:val="69D75DFF"/>
    <w:rsid w:val="69ED735F"/>
    <w:rsid w:val="6A220F1A"/>
    <w:rsid w:val="6A521800"/>
    <w:rsid w:val="6A537326"/>
    <w:rsid w:val="6A6E23B2"/>
    <w:rsid w:val="6A8D0A8A"/>
    <w:rsid w:val="6AA638F9"/>
    <w:rsid w:val="6B02289C"/>
    <w:rsid w:val="6BBB1626"/>
    <w:rsid w:val="6BC524A5"/>
    <w:rsid w:val="6BC54253"/>
    <w:rsid w:val="6BE04BE9"/>
    <w:rsid w:val="6BEC17E0"/>
    <w:rsid w:val="6BF012D0"/>
    <w:rsid w:val="6BFC528A"/>
    <w:rsid w:val="6C9205D9"/>
    <w:rsid w:val="6C9D0D2C"/>
    <w:rsid w:val="6CE64481"/>
    <w:rsid w:val="6CF748E0"/>
    <w:rsid w:val="6D1014FE"/>
    <w:rsid w:val="6D9B170F"/>
    <w:rsid w:val="6DA856A8"/>
    <w:rsid w:val="6DCF2230"/>
    <w:rsid w:val="6DD864C0"/>
    <w:rsid w:val="6E105C5A"/>
    <w:rsid w:val="6E470F4F"/>
    <w:rsid w:val="6E510020"/>
    <w:rsid w:val="6E5F44EB"/>
    <w:rsid w:val="6E843F52"/>
    <w:rsid w:val="6E9F2B3A"/>
    <w:rsid w:val="6EF07839"/>
    <w:rsid w:val="6F1A6664"/>
    <w:rsid w:val="6F1C418A"/>
    <w:rsid w:val="6F4E766A"/>
    <w:rsid w:val="6F83245B"/>
    <w:rsid w:val="6F9B77A5"/>
    <w:rsid w:val="6FA67EF8"/>
    <w:rsid w:val="6FAC3760"/>
    <w:rsid w:val="6FE309EC"/>
    <w:rsid w:val="70076BE8"/>
    <w:rsid w:val="700D7F77"/>
    <w:rsid w:val="700F3CEF"/>
    <w:rsid w:val="707029DF"/>
    <w:rsid w:val="708E730A"/>
    <w:rsid w:val="70B34FC2"/>
    <w:rsid w:val="7113780F"/>
    <w:rsid w:val="71BE3C1E"/>
    <w:rsid w:val="71EE5B2E"/>
    <w:rsid w:val="720C498A"/>
    <w:rsid w:val="722D120D"/>
    <w:rsid w:val="724F0D1A"/>
    <w:rsid w:val="727D244D"/>
    <w:rsid w:val="7285473C"/>
    <w:rsid w:val="72DB127A"/>
    <w:rsid w:val="730613D9"/>
    <w:rsid w:val="73061D27"/>
    <w:rsid w:val="731D4975"/>
    <w:rsid w:val="733028FA"/>
    <w:rsid w:val="73577F63"/>
    <w:rsid w:val="7416564C"/>
    <w:rsid w:val="743957DE"/>
    <w:rsid w:val="74463A57"/>
    <w:rsid w:val="744D4DE6"/>
    <w:rsid w:val="749D3FBF"/>
    <w:rsid w:val="74F00593"/>
    <w:rsid w:val="750C4CA1"/>
    <w:rsid w:val="75644A88"/>
    <w:rsid w:val="756845CD"/>
    <w:rsid w:val="759727BC"/>
    <w:rsid w:val="75976C60"/>
    <w:rsid w:val="759A22AD"/>
    <w:rsid w:val="75CD61DE"/>
    <w:rsid w:val="761A519B"/>
    <w:rsid w:val="762C55FB"/>
    <w:rsid w:val="763C15B6"/>
    <w:rsid w:val="763C5F18"/>
    <w:rsid w:val="7643534A"/>
    <w:rsid w:val="76500BBD"/>
    <w:rsid w:val="76D31F1A"/>
    <w:rsid w:val="76D96E05"/>
    <w:rsid w:val="772207AC"/>
    <w:rsid w:val="7725204A"/>
    <w:rsid w:val="77476464"/>
    <w:rsid w:val="777C610E"/>
    <w:rsid w:val="779D7E32"/>
    <w:rsid w:val="77A110AB"/>
    <w:rsid w:val="78411105"/>
    <w:rsid w:val="786D4A31"/>
    <w:rsid w:val="78857244"/>
    <w:rsid w:val="78A51368"/>
    <w:rsid w:val="78D41F79"/>
    <w:rsid w:val="791800B8"/>
    <w:rsid w:val="79646E59"/>
    <w:rsid w:val="79C8388C"/>
    <w:rsid w:val="79CD2C51"/>
    <w:rsid w:val="79D815F5"/>
    <w:rsid w:val="79F40A9B"/>
    <w:rsid w:val="7A0643B5"/>
    <w:rsid w:val="7A41363F"/>
    <w:rsid w:val="7A41719B"/>
    <w:rsid w:val="7A5D550B"/>
    <w:rsid w:val="7AB160CE"/>
    <w:rsid w:val="7AE5221C"/>
    <w:rsid w:val="7AF24957"/>
    <w:rsid w:val="7B0501C8"/>
    <w:rsid w:val="7B7315D6"/>
    <w:rsid w:val="7B8C08E9"/>
    <w:rsid w:val="7BE36492"/>
    <w:rsid w:val="7C0B5CB2"/>
    <w:rsid w:val="7C6D071B"/>
    <w:rsid w:val="7C86358B"/>
    <w:rsid w:val="7CEF0BED"/>
    <w:rsid w:val="7D060228"/>
    <w:rsid w:val="7D40373A"/>
    <w:rsid w:val="7D5176F5"/>
    <w:rsid w:val="7D8201F6"/>
    <w:rsid w:val="7DAE0FEB"/>
    <w:rsid w:val="7DBA7990"/>
    <w:rsid w:val="7DD50326"/>
    <w:rsid w:val="7E203DBE"/>
    <w:rsid w:val="7E24305B"/>
    <w:rsid w:val="7E374B3D"/>
    <w:rsid w:val="7E3F39F1"/>
    <w:rsid w:val="7E584AB3"/>
    <w:rsid w:val="7E75366D"/>
    <w:rsid w:val="7E7F0292"/>
    <w:rsid w:val="7EC56EDB"/>
    <w:rsid w:val="7ECF1219"/>
    <w:rsid w:val="7ED700CE"/>
    <w:rsid w:val="7EF23159"/>
    <w:rsid w:val="7EF46ED2"/>
    <w:rsid w:val="7F182BC0"/>
    <w:rsid w:val="7F24473B"/>
    <w:rsid w:val="7F272E03"/>
    <w:rsid w:val="7F914720"/>
    <w:rsid w:val="7FA53D28"/>
    <w:rsid w:val="7FB421BD"/>
    <w:rsid w:val="A7FFB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ascii="宋体" w:hAnsi="宋体" w:cs="宋体"/>
      <w:kern w:val="0"/>
      <w:sz w:val="24"/>
      <w:szCs w:val="24"/>
      <w:lang w:val="zh-CN" w:bidi="zh-CN"/>
    </w:rPr>
  </w:style>
  <w:style w:type="paragraph" w:styleId="7">
    <w:name w:val="toc 7"/>
    <w:basedOn w:val="1"/>
    <w:next w:val="1"/>
    <w:qFormat/>
    <w:uiPriority w:val="0"/>
    <w:pPr>
      <w:ind w:left="1260"/>
      <w:jc w:val="left"/>
    </w:pPr>
    <w:rPr>
      <w:szCs w:val="21"/>
    </w:rPr>
  </w:style>
  <w:style w:type="paragraph" w:styleId="8">
    <w:name w:val="annotation text"/>
    <w:basedOn w:val="1"/>
    <w:next w:val="1"/>
    <w:semiHidden/>
    <w:unhideWhenUsed/>
    <w:qFormat/>
    <w:uiPriority w:val="99"/>
    <w:pPr>
      <w:jc w:val="left"/>
    </w:pPr>
    <w:rPr>
      <w:kern w:val="0"/>
      <w:sz w:val="20"/>
    </w:rPr>
  </w:style>
  <w:style w:type="paragraph" w:styleId="9">
    <w:name w:val="Body Text Indent"/>
    <w:basedOn w:val="1"/>
    <w:next w:val="10"/>
    <w:qFormat/>
    <w:uiPriority w:val="0"/>
    <w:pPr>
      <w:ind w:firstLine="600"/>
    </w:pPr>
    <w:rPr>
      <w:rFonts w:ascii="Arial" w:hAnsi="Arial" w:eastAsia="仿宋_GB2312"/>
      <w:sz w:val="28"/>
    </w:rPr>
  </w:style>
  <w:style w:type="paragraph" w:styleId="10">
    <w:name w:val="envelope return"/>
    <w:basedOn w:val="1"/>
    <w:next w:val="7"/>
    <w:qFormat/>
    <w:uiPriority w:val="99"/>
    <w:pPr>
      <w:snapToGrid w:val="0"/>
    </w:pPr>
    <w:rPr>
      <w:rFonts w:ascii="Arial" w:hAnsi="Arial"/>
    </w:rPr>
  </w:style>
  <w:style w:type="paragraph" w:styleId="11">
    <w:name w:val="Plain Text"/>
    <w:basedOn w:val="1"/>
    <w:unhideWhenUsed/>
    <w:qFormat/>
    <w:uiPriority w:val="0"/>
    <w:rPr>
      <w:rFonts w:ascii="宋体" w:hAnsi="Courier New"/>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unhideWhenUsed/>
    <w:qFormat/>
    <w:uiPriority w:val="39"/>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1"/>
    </w:rPr>
  </w:style>
  <w:style w:type="paragraph" w:styleId="15">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9"/>
    <w:next w:val="1"/>
    <w:qFormat/>
    <w:uiPriority w:val="99"/>
    <w:pPr>
      <w:tabs>
        <w:tab w:val="left" w:pos="0"/>
        <w:tab w:val="left" w:pos="993"/>
        <w:tab w:val="left" w:pos="1134"/>
      </w:tabs>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0"/>
    <w:rPr>
      <w:rFonts w:cs="Times New Roman"/>
      <w:color w:val="0000FF"/>
      <w:u w:val="single"/>
    </w:rPr>
  </w:style>
  <w:style w:type="paragraph" w:customStyle="1" w:styleId="21">
    <w:name w:val="无间隔1"/>
    <w:basedOn w:val="1"/>
    <w:qFormat/>
    <w:uiPriority w:val="99"/>
    <w:pPr>
      <w:spacing w:line="400" w:lineRule="exact"/>
    </w:pPr>
    <w:rPr>
      <w:sz w:val="24"/>
    </w:rPr>
  </w:style>
  <w:style w:type="paragraph" w:customStyle="1" w:styleId="22">
    <w:name w:val="BodyText1I2"/>
    <w:basedOn w:val="23"/>
    <w:qFormat/>
    <w:uiPriority w:val="0"/>
    <w:pPr>
      <w:ind w:left="420" w:firstLine="420" w:firstLineChars="200"/>
      <w:jc w:val="both"/>
      <w:textAlignment w:val="baseline"/>
    </w:pPr>
  </w:style>
  <w:style w:type="paragraph" w:customStyle="1" w:styleId="23">
    <w:name w:val="BodyTextIndent"/>
    <w:basedOn w:val="1"/>
    <w:next w:val="24"/>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4">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6">
    <w:name w:val="List Paragraph"/>
    <w:basedOn w:val="1"/>
    <w:qFormat/>
    <w:uiPriority w:val="34"/>
    <w:pPr>
      <w:ind w:firstLine="420" w:firstLineChars="200"/>
    </w:pPr>
  </w:style>
  <w:style w:type="paragraph" w:customStyle="1" w:styleId="27">
    <w:name w:val="_Style 18"/>
    <w:basedOn w:val="1"/>
    <w:next w:val="26"/>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8">
    <w:name w:val="正文new"/>
    <w:basedOn w:val="1"/>
    <w:qFormat/>
    <w:uiPriority w:val="0"/>
    <w:pPr>
      <w:adjustRightInd w:val="0"/>
      <w:snapToGrid w:val="0"/>
      <w:ind w:firstLine="480" w:firstLineChars="200"/>
    </w:pPr>
  </w:style>
  <w:style w:type="paragraph" w:customStyle="1" w:styleId="29">
    <w:name w:val="p15"/>
    <w:basedOn w:val="1"/>
    <w:next w:val="8"/>
    <w:qFormat/>
    <w:uiPriority w:val="99"/>
    <w:pPr>
      <w:widowControl/>
    </w:pPr>
    <w:rPr>
      <w:kern w:val="0"/>
    </w:rPr>
  </w:style>
  <w:style w:type="paragraph" w:customStyle="1" w:styleId="30">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10648</Words>
  <Characters>11013</Characters>
  <Lines>0</Lines>
  <Paragraphs>0</Paragraphs>
  <TotalTime>8</TotalTime>
  <ScaleCrop>false</ScaleCrop>
  <LinksUpToDate>false</LinksUpToDate>
  <CharactersWithSpaces>11355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2023-09-25T18:00:00Z</dcterms:created>
  <dc:creator>刘梦雅</dc:creator>
  <cp:lastModifiedBy>W</cp:lastModifiedBy>
  <cp:lastPrinted>2023-10-11T22:31:00Z</cp:lastPrinted>
  <dcterms:modified xsi:type="dcterms:W3CDTF">2026-05-08T02:54:50Z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880CBE3BF612494196C48E3E04BD5743_13</vt:lpwstr>
  </property>
  <property fmtid="{D5CDD505-2E9C-101B-9397-08002B2CF9AE}" pid="4" name="KSOTemplateDocerSaveRecord">
    <vt:lpwstr>eyJoZGlkIjoiOWU0OGFjMzg5OGI4ZGNhZjZmZmY1ZDRmZjYxZjA1MDUiLCJ1c2VySWQiOiI0NTc4NjI0NTEifQ==</vt:lpwstr>
  </property>
</Properties>
</file>